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4CD16" w14:textId="77777777" w:rsidR="00E568BA" w:rsidRDefault="00E568BA" w:rsidP="00E21DAE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</w:p>
    <w:p w14:paraId="0B286511" w14:textId="35B2138D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27BA01BA" w14:textId="77777777" w:rsidR="00E21DAE" w:rsidRPr="00E21DAE" w:rsidRDefault="00E21DAE" w:rsidP="00E21DAE">
      <w:pPr>
        <w:spacing w:after="200" w:line="276" w:lineRule="auto"/>
        <w:jc w:val="left"/>
        <w:rPr>
          <w:rFonts w:ascii="Arial" w:hAnsi="Arial" w:cs="Arial"/>
          <w:b/>
          <w:sz w:val="40"/>
          <w:szCs w:val="40"/>
        </w:rPr>
      </w:pPr>
    </w:p>
    <w:p w14:paraId="25E10EDF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46044CD7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MyriadPro-Black" w:eastAsia="MS Mincho" w:hAnsi="MyriadPro-Black" w:cs="MyriadPro-Black"/>
          <w:caps/>
          <w:color w:val="000000"/>
          <w:sz w:val="40"/>
          <w:szCs w:val="40"/>
          <w:lang w:eastAsia="ja-JP"/>
        </w:rPr>
      </w:pPr>
    </w:p>
    <w:p w14:paraId="2E04A70D" w14:textId="77777777" w:rsidR="00E21DAE" w:rsidRPr="00E21DAE" w:rsidRDefault="00E21DAE" w:rsidP="00E21DAE">
      <w:pPr>
        <w:jc w:val="left"/>
        <w:rPr>
          <w:szCs w:val="24"/>
        </w:rPr>
      </w:pPr>
    </w:p>
    <w:p w14:paraId="03897A7D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4C2CBBF1" w14:textId="7145974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  <w:t>PRO ŽADATELE A PŘÍJEMCE</w:t>
      </w:r>
      <w:r w:rsidR="001A23F5"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  <w:t xml:space="preserve"> </w:t>
      </w:r>
      <w:r w:rsidR="001A23F5">
        <w:rPr>
          <w:rFonts w:ascii="Cambria" w:hAnsi="Cambria" w:cs="MyriadPro-Black"/>
          <w:caps/>
          <w:sz w:val="60"/>
          <w:szCs w:val="60"/>
        </w:rPr>
        <w:t>integrovaných projektů IPRú</w:t>
      </w:r>
      <w:r w:rsidRPr="00E21DAE"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  <w:t xml:space="preserve"> </w:t>
      </w:r>
    </w:p>
    <w:p w14:paraId="6B32DEAB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19954953" w14:textId="77777777" w:rsidR="00E21DAE" w:rsidRPr="00E21DAE" w:rsidRDefault="00E21DAE" w:rsidP="00E21DAE">
      <w:pPr>
        <w:spacing w:after="200" w:line="276" w:lineRule="auto"/>
        <w:jc w:val="left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E21DAE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0F2AAABB" w14:textId="36C8D319" w:rsidR="00E21DAE" w:rsidRPr="00E21DAE" w:rsidRDefault="00113154" w:rsidP="00E21DAE">
      <w:pPr>
        <w:spacing w:after="200" w:line="276" w:lineRule="auto"/>
        <w:jc w:val="left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Průběřná</w:t>
      </w:r>
      <w:r w:rsidR="00E21DAE" w:rsidRPr="00E21DAE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277718">
        <w:rPr>
          <w:rFonts w:asciiTheme="majorHAnsi" w:hAnsiTheme="majorHAnsi" w:cs="MyriadPro-Black"/>
          <w:caps/>
          <w:color w:val="A6A6A6"/>
          <w:sz w:val="40"/>
          <w:szCs w:val="40"/>
        </w:rPr>
        <w:t>8</w:t>
      </w:r>
      <w:r w:rsidR="00E235C2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</w:p>
    <w:p w14:paraId="41A46539" w14:textId="21BF253A" w:rsid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E235C2"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  <w:t>8</w:t>
      </w:r>
    </w:p>
    <w:p w14:paraId="5CA1E780" w14:textId="77777777" w:rsidR="00C54F5B" w:rsidRPr="00056E05" w:rsidRDefault="00C54F5B" w:rsidP="00C54F5B">
      <w:pPr>
        <w:pStyle w:val="Zkladnodstavec"/>
        <w:jc w:val="both"/>
        <w:rPr>
          <w:rFonts w:ascii="Arial" w:hAnsi="Arial" w:cs="Arial"/>
          <w:b/>
          <w:caps/>
          <w:sz w:val="46"/>
          <w:szCs w:val="40"/>
        </w:rPr>
      </w:pPr>
      <w:r w:rsidRPr="00056E05">
        <w:rPr>
          <w:rFonts w:ascii="Arial" w:hAnsi="Arial" w:cs="Arial"/>
          <w:b/>
          <w:caps/>
          <w:sz w:val="46"/>
          <w:szCs w:val="40"/>
        </w:rPr>
        <w:t>Vzor Pověřovací</w:t>
      </w:r>
      <w:r>
        <w:rPr>
          <w:rFonts w:ascii="Arial" w:hAnsi="Arial" w:cs="Arial"/>
          <w:b/>
          <w:caps/>
          <w:sz w:val="46"/>
          <w:szCs w:val="40"/>
        </w:rPr>
        <w:t>ho</w:t>
      </w:r>
      <w:r w:rsidRPr="00056E05">
        <w:rPr>
          <w:rFonts w:ascii="Arial" w:hAnsi="Arial" w:cs="Arial"/>
          <w:b/>
          <w:caps/>
          <w:sz w:val="46"/>
          <w:szCs w:val="40"/>
        </w:rPr>
        <w:t xml:space="preserve"> akt</w:t>
      </w:r>
      <w:r>
        <w:rPr>
          <w:rFonts w:ascii="Arial" w:hAnsi="Arial" w:cs="Arial"/>
          <w:b/>
          <w:caps/>
          <w:sz w:val="46"/>
          <w:szCs w:val="40"/>
        </w:rPr>
        <w:t>u</w:t>
      </w:r>
    </w:p>
    <w:p w14:paraId="4A3B1402" w14:textId="77777777" w:rsidR="00C54F5B" w:rsidRPr="00056E05" w:rsidRDefault="00C54F5B" w:rsidP="00C54F5B">
      <w:pPr>
        <w:rPr>
          <w:rFonts w:ascii="Arial" w:hAnsi="Arial" w:cs="Arial"/>
          <w:b/>
          <w:bCs/>
          <w:smallCaps/>
          <w:sz w:val="32"/>
          <w:szCs w:val="52"/>
        </w:rPr>
      </w:pPr>
      <w:r>
        <w:rPr>
          <w:rFonts w:ascii="Arial" w:hAnsi="Arial" w:cs="Arial"/>
          <w:b/>
          <w:bCs/>
          <w:smallCaps/>
          <w:sz w:val="32"/>
          <w:szCs w:val="52"/>
        </w:rPr>
        <w:t>po</w:t>
      </w:r>
      <w:r w:rsidRPr="00056E05">
        <w:rPr>
          <w:rFonts w:ascii="Arial" w:hAnsi="Arial" w:cs="Arial"/>
          <w:b/>
          <w:bCs/>
          <w:smallCaps/>
          <w:sz w:val="32"/>
          <w:szCs w:val="52"/>
        </w:rPr>
        <w:t>dle Rozhodnutí Komise (2012/21/EU) o použití čl. 106 odst. 2 SFEU na státní podporu ve formě vyrovnávací platby za závazek veřejné služby udělené určitým podniků</w:t>
      </w:r>
      <w:r>
        <w:rPr>
          <w:rFonts w:ascii="Arial" w:hAnsi="Arial" w:cs="Arial"/>
          <w:b/>
          <w:bCs/>
          <w:smallCaps/>
          <w:sz w:val="32"/>
          <w:szCs w:val="52"/>
        </w:rPr>
        <w:t>m</w:t>
      </w:r>
      <w:r w:rsidRPr="00056E05">
        <w:rPr>
          <w:rFonts w:ascii="Arial" w:hAnsi="Arial" w:cs="Arial"/>
          <w:b/>
          <w:bCs/>
          <w:smallCaps/>
          <w:sz w:val="32"/>
          <w:szCs w:val="52"/>
        </w:rPr>
        <w:t xml:space="preserve"> pověřeným poskytováním služeb obecného hospodářského zájmu </w:t>
      </w:r>
    </w:p>
    <w:p w14:paraId="2A9433E0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308EE2C2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6014AB1F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366F5E02" w14:textId="77777777" w:rsidR="00C54F5B" w:rsidRPr="00C54F5B" w:rsidRDefault="00C54F5B" w:rsidP="00C54F5B">
      <w:pPr>
        <w:spacing w:after="200" w:line="276" w:lineRule="auto"/>
        <w:jc w:val="left"/>
        <w:rPr>
          <w:rFonts w:ascii="Cambria" w:eastAsia="Arial" w:hAnsi="Cambria" w:cs="MyriadPro-Black"/>
          <w:caps/>
          <w:color w:val="A6A6A6"/>
          <w:sz w:val="32"/>
          <w:szCs w:val="32"/>
          <w:lang w:eastAsia="en-US"/>
        </w:rPr>
      </w:pPr>
      <w:r w:rsidRPr="00C54F5B">
        <w:rPr>
          <w:rFonts w:ascii="Cambria" w:eastAsia="Arial" w:hAnsi="Cambria" w:cs="MyriadPro-Black"/>
          <w:caps/>
          <w:color w:val="A6A6A6"/>
          <w:sz w:val="32"/>
          <w:szCs w:val="32"/>
          <w:lang w:eastAsia="en-US"/>
        </w:rPr>
        <w:t xml:space="preserve">pLATNOST OD 16. 12. 2025 </w:t>
      </w:r>
    </w:p>
    <w:p w14:paraId="7555B2C2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3B7B8C8" w14:textId="77777777" w:rsidR="009A6143" w:rsidRPr="00056E05" w:rsidRDefault="009A6143" w:rsidP="009A6143">
      <w:pPr>
        <w:jc w:val="center"/>
        <w:rPr>
          <w:rFonts w:ascii="Arial" w:hAnsi="Arial" w:cs="Arial"/>
          <w:b/>
          <w:caps/>
          <w:sz w:val="22"/>
        </w:rPr>
      </w:pPr>
      <w:r w:rsidRPr="00056E05">
        <w:rPr>
          <w:rFonts w:ascii="Arial" w:hAnsi="Arial" w:cs="Arial"/>
          <w:b/>
          <w:caps/>
          <w:sz w:val="22"/>
        </w:rPr>
        <w:lastRenderedPageBreak/>
        <w:t>Pověřovací akt</w:t>
      </w:r>
    </w:p>
    <w:p w14:paraId="6A38B7AE" w14:textId="77777777" w:rsidR="009A6143" w:rsidRPr="00056E05" w:rsidRDefault="009A6143" w:rsidP="009A6143">
      <w:pPr>
        <w:jc w:val="center"/>
        <w:rPr>
          <w:rFonts w:ascii="Arial" w:hAnsi="Arial" w:cs="Arial"/>
          <w:b/>
          <w:sz w:val="22"/>
        </w:rPr>
      </w:pPr>
    </w:p>
    <w:p w14:paraId="1CEB8520" w14:textId="77777777" w:rsidR="009A6143" w:rsidRPr="00056E05" w:rsidRDefault="009A6143" w:rsidP="009A6143">
      <w:pPr>
        <w:jc w:val="center"/>
        <w:rPr>
          <w:rFonts w:ascii="Arial" w:hAnsi="Arial" w:cs="Arial"/>
          <w:sz w:val="20"/>
        </w:rPr>
      </w:pPr>
    </w:p>
    <w:p w14:paraId="125EDA38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5BE655A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Smluvní strany</w:t>
      </w:r>
    </w:p>
    <w:p w14:paraId="2E70FA87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7"/>
        <w:gridCol w:w="4625"/>
      </w:tblGrid>
      <w:tr w:rsidR="009A6143" w:rsidRPr="00056E05" w14:paraId="398EFD72" w14:textId="77777777" w:rsidTr="00206456">
        <w:tc>
          <w:tcPr>
            <w:tcW w:w="4515" w:type="dxa"/>
          </w:tcPr>
          <w:p w14:paraId="3F47E77B" w14:textId="77777777" w:rsidR="009A6143" w:rsidRPr="00056E05" w:rsidRDefault="007F3340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Pověřovatel</w:t>
            </w:r>
          </w:p>
        </w:tc>
        <w:tc>
          <w:tcPr>
            <w:tcW w:w="4697" w:type="dxa"/>
          </w:tcPr>
          <w:p w14:paraId="44883CB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 w:rsidRPr="00056E05">
              <w:rPr>
                <w:rFonts w:ascii="Arial" w:hAnsi="Arial" w:cs="Arial"/>
                <w:b/>
                <w:sz w:val="20"/>
              </w:rPr>
              <w:t>Ministerstvo pro místní rozvoj ČR</w:t>
            </w:r>
          </w:p>
        </w:tc>
      </w:tr>
      <w:tr w:rsidR="009A6143" w:rsidRPr="00056E05" w14:paraId="5348C37B" w14:textId="77777777" w:rsidTr="00206456">
        <w:tc>
          <w:tcPr>
            <w:tcW w:w="4515" w:type="dxa"/>
          </w:tcPr>
          <w:p w14:paraId="3D9DCFA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697" w:type="dxa"/>
          </w:tcPr>
          <w:p w14:paraId="6A33762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Staroměstské náměstí 6, 110 15 Praha 1</w:t>
            </w:r>
          </w:p>
        </w:tc>
      </w:tr>
      <w:tr w:rsidR="009A6143" w:rsidRPr="00056E05" w14:paraId="4A8AD6F0" w14:textId="77777777" w:rsidTr="00206456">
        <w:tc>
          <w:tcPr>
            <w:tcW w:w="4515" w:type="dxa"/>
          </w:tcPr>
          <w:p w14:paraId="2980358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697" w:type="dxa"/>
          </w:tcPr>
          <w:p w14:paraId="3693435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color w:val="231F20"/>
                <w:sz w:val="20"/>
                <w:szCs w:val="18"/>
              </w:rPr>
              <w:t>+420 224 861 111; +420 224 861 333</w:t>
            </w:r>
          </w:p>
        </w:tc>
      </w:tr>
      <w:tr w:rsidR="009A6143" w:rsidRPr="00056E05" w14:paraId="78A4628D" w14:textId="77777777" w:rsidTr="00206456">
        <w:tc>
          <w:tcPr>
            <w:tcW w:w="4515" w:type="dxa"/>
          </w:tcPr>
          <w:p w14:paraId="4B64A4D5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697" w:type="dxa"/>
          </w:tcPr>
          <w:p w14:paraId="6F144B94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66 00 2222</w:t>
            </w:r>
          </w:p>
        </w:tc>
      </w:tr>
      <w:tr w:rsidR="009A6143" w:rsidRPr="00056E05" w14:paraId="4C807021" w14:textId="77777777" w:rsidTr="00206456">
        <w:tc>
          <w:tcPr>
            <w:tcW w:w="4515" w:type="dxa"/>
          </w:tcPr>
          <w:p w14:paraId="5565A9B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697" w:type="dxa"/>
          </w:tcPr>
          <w:p w14:paraId="382DB4DE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B9FAE5C" w14:textId="77777777" w:rsidTr="00206456">
        <w:tc>
          <w:tcPr>
            <w:tcW w:w="4515" w:type="dxa"/>
          </w:tcPr>
          <w:p w14:paraId="765A86C4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697" w:type="dxa"/>
          </w:tcPr>
          <w:p w14:paraId="09F0F2C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A80305B" w14:textId="77777777" w:rsidTr="00206456">
        <w:tc>
          <w:tcPr>
            <w:tcW w:w="4515" w:type="dxa"/>
          </w:tcPr>
          <w:p w14:paraId="37F1045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697" w:type="dxa"/>
          </w:tcPr>
          <w:p w14:paraId="344086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605E41F9" w14:textId="77777777" w:rsidTr="00206456">
        <w:tc>
          <w:tcPr>
            <w:tcW w:w="4515" w:type="dxa"/>
          </w:tcPr>
          <w:p w14:paraId="12CBCA49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2F1C00F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7E66F29" w14:textId="77777777" w:rsidTr="00206456">
        <w:tc>
          <w:tcPr>
            <w:tcW w:w="4515" w:type="dxa"/>
          </w:tcPr>
          <w:p w14:paraId="1B15CE6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697" w:type="dxa"/>
          </w:tcPr>
          <w:p w14:paraId="2E9C93F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E7C1AA1" w14:textId="77777777" w:rsidTr="00206456">
        <w:tc>
          <w:tcPr>
            <w:tcW w:w="4515" w:type="dxa"/>
          </w:tcPr>
          <w:p w14:paraId="6E43435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227348">
              <w:rPr>
                <w:rFonts w:ascii="Arial" w:hAnsi="Arial" w:cs="Arial"/>
                <w:sz w:val="20"/>
              </w:rPr>
              <w:t>ověřovatel</w:t>
            </w:r>
            <w:r w:rsidRPr="00056E05">
              <w:rPr>
                <w:rFonts w:ascii="Arial" w:hAnsi="Arial" w:cs="Arial"/>
                <w:sz w:val="20"/>
              </w:rPr>
              <w:t>“) na straně jedné</w:t>
            </w:r>
          </w:p>
        </w:tc>
        <w:tc>
          <w:tcPr>
            <w:tcW w:w="4697" w:type="dxa"/>
          </w:tcPr>
          <w:p w14:paraId="257B83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4A164D15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p w14:paraId="5497FA1E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4"/>
        <w:gridCol w:w="15"/>
        <w:gridCol w:w="4613"/>
      </w:tblGrid>
      <w:tr w:rsidR="009A6143" w:rsidRPr="00056E05" w14:paraId="6AB9BA67" w14:textId="77777777" w:rsidTr="00206456">
        <w:tc>
          <w:tcPr>
            <w:tcW w:w="4500" w:type="dxa"/>
          </w:tcPr>
          <w:p w14:paraId="6563226B" w14:textId="77777777" w:rsidR="009A6143" w:rsidRPr="00056E05" w:rsidRDefault="007F3340" w:rsidP="00696595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Poskytovatel </w:t>
            </w:r>
          </w:p>
        </w:tc>
        <w:tc>
          <w:tcPr>
            <w:tcW w:w="4712" w:type="dxa"/>
            <w:gridSpan w:val="2"/>
          </w:tcPr>
          <w:p w14:paraId="272C54B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9A6143" w:rsidRPr="00056E05" w14:paraId="32AC4F5D" w14:textId="77777777" w:rsidTr="00206456">
        <w:tc>
          <w:tcPr>
            <w:tcW w:w="4500" w:type="dxa"/>
          </w:tcPr>
          <w:p w14:paraId="7230F2C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712" w:type="dxa"/>
            <w:gridSpan w:val="2"/>
          </w:tcPr>
          <w:p w14:paraId="5ADEDC0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BE579BB" w14:textId="77777777" w:rsidTr="00206456">
        <w:tc>
          <w:tcPr>
            <w:tcW w:w="4500" w:type="dxa"/>
          </w:tcPr>
          <w:p w14:paraId="176D739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712" w:type="dxa"/>
            <w:gridSpan w:val="2"/>
          </w:tcPr>
          <w:p w14:paraId="5CF70772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A8359A" w14:textId="77777777" w:rsidTr="00206456">
        <w:tc>
          <w:tcPr>
            <w:tcW w:w="4500" w:type="dxa"/>
          </w:tcPr>
          <w:p w14:paraId="7D7BC23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712" w:type="dxa"/>
            <w:gridSpan w:val="2"/>
          </w:tcPr>
          <w:p w14:paraId="0FD5A1A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15D27FE" w14:textId="77777777" w:rsidTr="00206456">
        <w:tc>
          <w:tcPr>
            <w:tcW w:w="4500" w:type="dxa"/>
          </w:tcPr>
          <w:p w14:paraId="7D1D20E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712" w:type="dxa"/>
            <w:gridSpan w:val="2"/>
          </w:tcPr>
          <w:p w14:paraId="6184DE9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6BFD79A" w14:textId="77777777" w:rsidTr="00206456">
        <w:tc>
          <w:tcPr>
            <w:tcW w:w="4500" w:type="dxa"/>
          </w:tcPr>
          <w:p w14:paraId="2DD417E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712" w:type="dxa"/>
            <w:gridSpan w:val="2"/>
          </w:tcPr>
          <w:p w14:paraId="3CA5266C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37B27864" w14:textId="77777777" w:rsidTr="00206456">
        <w:tc>
          <w:tcPr>
            <w:tcW w:w="4500" w:type="dxa"/>
          </w:tcPr>
          <w:p w14:paraId="28BEE4AC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712" w:type="dxa"/>
            <w:gridSpan w:val="2"/>
          </w:tcPr>
          <w:p w14:paraId="3E575707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BEBA2F" w14:textId="77777777" w:rsidTr="00206456">
        <w:tc>
          <w:tcPr>
            <w:tcW w:w="4515" w:type="dxa"/>
            <w:gridSpan w:val="2"/>
          </w:tcPr>
          <w:p w14:paraId="54C16DCB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1B9DD9F1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3913848" w14:textId="77777777" w:rsidTr="00206456">
        <w:tc>
          <w:tcPr>
            <w:tcW w:w="4500" w:type="dxa"/>
          </w:tcPr>
          <w:p w14:paraId="5CF9696D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712" w:type="dxa"/>
            <w:gridSpan w:val="2"/>
          </w:tcPr>
          <w:p w14:paraId="674E57F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8C7D87A" w14:textId="77777777" w:rsidTr="00206456">
        <w:tc>
          <w:tcPr>
            <w:tcW w:w="4500" w:type="dxa"/>
          </w:tcPr>
          <w:p w14:paraId="3528F9AC" w14:textId="4B5B223B" w:rsidR="009A6143" w:rsidRPr="00056E05" w:rsidRDefault="009A6143" w:rsidP="00297884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C828E6">
              <w:rPr>
                <w:rFonts w:ascii="Arial" w:hAnsi="Arial" w:cs="Arial"/>
                <w:sz w:val="20"/>
              </w:rPr>
              <w:t>oskytovatel</w:t>
            </w:r>
            <w:r w:rsidRPr="00056E05">
              <w:rPr>
                <w:rFonts w:ascii="Arial" w:hAnsi="Arial" w:cs="Arial"/>
                <w:sz w:val="20"/>
              </w:rPr>
              <w:t>“) na straně druh</w:t>
            </w:r>
            <w:r w:rsidR="00297884">
              <w:rPr>
                <w:rFonts w:ascii="Arial" w:hAnsi="Arial" w:cs="Arial"/>
                <w:sz w:val="20"/>
              </w:rPr>
              <w:t>é</w:t>
            </w:r>
          </w:p>
        </w:tc>
        <w:tc>
          <w:tcPr>
            <w:tcW w:w="4712" w:type="dxa"/>
            <w:gridSpan w:val="2"/>
          </w:tcPr>
          <w:p w14:paraId="7FFF1B5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25C8A972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1E194E43" w14:textId="77777777" w:rsidR="00D07A88" w:rsidRDefault="00D07A88" w:rsidP="00D07A88">
      <w:pPr>
        <w:rPr>
          <w:rFonts w:ascii="Arial" w:hAnsi="Arial" w:cs="Arial"/>
          <w:sz w:val="20"/>
        </w:rPr>
      </w:pPr>
    </w:p>
    <w:p w14:paraId="4BDC1DA1" w14:textId="11382E94" w:rsidR="00D07A88" w:rsidRPr="00056E05" w:rsidRDefault="00D07A88" w:rsidP="00D07A88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0"/>
        </w:rPr>
        <w:t>uzavírají tuto smlouvu v souladu s</w:t>
      </w:r>
      <w:r w:rsidRPr="00D709CF">
        <w:rPr>
          <w:rFonts w:ascii="Arial" w:hAnsi="Arial" w:cs="Arial"/>
          <w:sz w:val="20"/>
        </w:rPr>
        <w:t> </w:t>
      </w:r>
      <w:r w:rsidR="00D709CF" w:rsidRPr="00D709CF">
        <w:rPr>
          <w:rFonts w:ascii="Arial" w:hAnsi="Arial" w:cs="Arial"/>
          <w:sz w:val="20"/>
        </w:rPr>
        <w:t>R</w:t>
      </w:r>
      <w:r w:rsidRPr="00D350E9">
        <w:rPr>
          <w:rFonts w:ascii="Arial" w:hAnsi="Arial" w:cs="Arial"/>
          <w:sz w:val="20"/>
        </w:rPr>
        <w:t>ozhodnutím Evropské Komise ze dne 20. prosince 2011 o použití čl. 106 odst. 2 SFEU na státní podporu ve formě vyrovnávací platby za závazek veřejné služby udělené určitým podniků</w:t>
      </w:r>
      <w:r w:rsidR="00032381">
        <w:rPr>
          <w:rFonts w:ascii="Arial" w:hAnsi="Arial" w:cs="Arial"/>
          <w:sz w:val="20"/>
        </w:rPr>
        <w:t>m</w:t>
      </w:r>
      <w:r w:rsidRPr="00D350E9">
        <w:rPr>
          <w:rFonts w:ascii="Arial" w:hAnsi="Arial" w:cs="Arial"/>
          <w:sz w:val="20"/>
        </w:rPr>
        <w:t xml:space="preserve"> pověřeným poskytováním služeb obecného hospodářského zájmu (2012/21/EU)</w:t>
      </w:r>
      <w:r w:rsidRPr="00424DA4">
        <w:rPr>
          <w:sz w:val="20"/>
          <w:vertAlign w:val="superscript"/>
        </w:rPr>
        <w:footnoteReference w:id="2"/>
      </w:r>
      <w:r w:rsidRPr="00D350E9">
        <w:rPr>
          <w:rFonts w:ascii="Arial" w:hAnsi="Arial" w:cs="Arial"/>
          <w:sz w:val="20"/>
        </w:rPr>
        <w:t xml:space="preserve"> a</w:t>
      </w:r>
      <w:r w:rsidR="00D709CF">
        <w:rPr>
          <w:rFonts w:ascii="Arial" w:hAnsi="Arial" w:cs="Arial"/>
          <w:sz w:val="20"/>
        </w:rPr>
        <w:t> </w:t>
      </w:r>
      <w:r w:rsidRPr="00D350E9">
        <w:rPr>
          <w:rFonts w:ascii="Arial" w:hAnsi="Arial" w:cs="Arial"/>
          <w:sz w:val="20"/>
        </w:rPr>
        <w:t>zákonem č. 89/2012 Sb., občanský zákoník</w:t>
      </w:r>
      <w:r w:rsidR="006C5ABA">
        <w:rPr>
          <w:rFonts w:ascii="Arial" w:hAnsi="Arial" w:cs="Arial"/>
          <w:sz w:val="20"/>
        </w:rPr>
        <w:t>.</w:t>
      </w:r>
    </w:p>
    <w:p w14:paraId="566999A8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2C3898A6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1244F13F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I.</w:t>
      </w:r>
    </w:p>
    <w:p w14:paraId="79E7C8A9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Předmět pověřovacího aktu</w:t>
      </w:r>
    </w:p>
    <w:p w14:paraId="4C0A063C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379E1BF7" w14:textId="17F201A0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 w:rsidRPr="0027176F">
        <w:rPr>
          <w:rFonts w:ascii="Arial" w:hAnsi="Arial"/>
          <w:sz w:val="20"/>
        </w:rPr>
        <w:t>Pověřovatel</w:t>
      </w:r>
      <w:r w:rsidR="009A6143" w:rsidRPr="00182B1A">
        <w:rPr>
          <w:rFonts w:ascii="Arial" w:hAnsi="Arial" w:cs="Arial"/>
          <w:sz w:val="20"/>
        </w:rPr>
        <w:t xml:space="preserve"> pověřuje </w:t>
      </w:r>
      <w:r w:rsidRPr="0027176F">
        <w:rPr>
          <w:rFonts w:ascii="Arial" w:hAnsi="Arial"/>
          <w:sz w:val="20"/>
        </w:rPr>
        <w:t xml:space="preserve">poskytovatele </w:t>
      </w:r>
      <w:r w:rsidR="00522877">
        <w:rPr>
          <w:rFonts w:ascii="Arial" w:hAnsi="Arial" w:cs="Arial"/>
          <w:sz w:val="20"/>
        </w:rPr>
        <w:t>výkonem</w:t>
      </w:r>
      <w:r w:rsidR="009A6143" w:rsidRPr="00056E05">
        <w:rPr>
          <w:rFonts w:ascii="Arial" w:hAnsi="Arial" w:cs="Arial"/>
          <w:sz w:val="20"/>
        </w:rPr>
        <w:t xml:space="preserve"> služeb obecného hospodářského zájm</w:t>
      </w:r>
      <w:r w:rsidR="00206456">
        <w:rPr>
          <w:rFonts w:ascii="Arial" w:hAnsi="Arial" w:cs="Arial"/>
          <w:sz w:val="20"/>
        </w:rPr>
        <w:t xml:space="preserve">u </w:t>
      </w:r>
      <w:r w:rsidR="00941BB9">
        <w:rPr>
          <w:rFonts w:ascii="Arial" w:hAnsi="Arial" w:cs="Arial"/>
          <w:sz w:val="20"/>
        </w:rPr>
        <w:t xml:space="preserve">(dále jen „SOHZ“) </w:t>
      </w:r>
      <w:r w:rsidR="00206456">
        <w:rPr>
          <w:rFonts w:ascii="Arial" w:hAnsi="Arial" w:cs="Arial"/>
          <w:sz w:val="20"/>
        </w:rPr>
        <w:t>sociálního bydlení</w:t>
      </w:r>
      <w:r w:rsidR="00145150">
        <w:rPr>
          <w:rFonts w:ascii="Arial" w:hAnsi="Arial" w:cs="Arial"/>
          <w:sz w:val="20"/>
        </w:rPr>
        <w:t xml:space="preserve"> fo</w:t>
      </w:r>
      <w:r w:rsidR="00A32F1F">
        <w:rPr>
          <w:rFonts w:ascii="Arial" w:hAnsi="Arial" w:cs="Arial"/>
          <w:sz w:val="20"/>
        </w:rPr>
        <w:t>rmou pronájmu byt</w:t>
      </w:r>
      <w:r w:rsidR="00D01112">
        <w:rPr>
          <w:rFonts w:ascii="Arial" w:hAnsi="Arial" w:cs="Arial"/>
          <w:sz w:val="20"/>
        </w:rPr>
        <w:t>u (bytů)</w:t>
      </w:r>
      <w:r w:rsidR="00A32F1F">
        <w:rPr>
          <w:rFonts w:ascii="Arial" w:hAnsi="Arial" w:cs="Arial"/>
          <w:sz w:val="20"/>
        </w:rPr>
        <w:t xml:space="preserve"> za </w:t>
      </w:r>
      <w:r w:rsidR="00145150">
        <w:rPr>
          <w:rFonts w:ascii="Arial" w:hAnsi="Arial" w:cs="Arial"/>
          <w:sz w:val="20"/>
        </w:rPr>
        <w:t xml:space="preserve">stanovené </w:t>
      </w:r>
      <w:r w:rsidR="00A32F1F">
        <w:rPr>
          <w:rFonts w:ascii="Arial" w:hAnsi="Arial" w:cs="Arial"/>
          <w:sz w:val="20"/>
        </w:rPr>
        <w:t>nájemné</w:t>
      </w:r>
      <w:r w:rsidR="00145150">
        <w:rPr>
          <w:rFonts w:ascii="Arial" w:hAnsi="Arial" w:cs="Arial"/>
          <w:sz w:val="20"/>
        </w:rPr>
        <w:t xml:space="preserve"> </w:t>
      </w:r>
      <w:r w:rsidR="00AB50D6">
        <w:rPr>
          <w:rFonts w:ascii="Arial" w:hAnsi="Arial" w:cs="Arial"/>
          <w:sz w:val="20"/>
        </w:rPr>
        <w:t>osobám</w:t>
      </w:r>
      <w:r w:rsidR="00145150">
        <w:rPr>
          <w:rFonts w:ascii="Arial" w:hAnsi="Arial" w:cs="Arial"/>
          <w:sz w:val="20"/>
        </w:rPr>
        <w:t xml:space="preserve"> v bytové nouzi</w:t>
      </w:r>
      <w:r w:rsidR="00696595">
        <w:rPr>
          <w:rFonts w:ascii="Arial" w:hAnsi="Arial" w:cs="Arial"/>
          <w:sz w:val="20"/>
        </w:rPr>
        <w:t xml:space="preserve"> na základě podmínek </w:t>
      </w:r>
      <w:r w:rsidR="00B802E7">
        <w:rPr>
          <w:rFonts w:ascii="Arial" w:hAnsi="Arial" w:cs="Arial"/>
          <w:sz w:val="20"/>
        </w:rPr>
        <w:t>vymezených</w:t>
      </w:r>
      <w:r w:rsidR="004466A3">
        <w:rPr>
          <w:rFonts w:ascii="Arial" w:hAnsi="Arial" w:cs="Arial"/>
          <w:sz w:val="20"/>
        </w:rPr>
        <w:t xml:space="preserve"> </w:t>
      </w:r>
      <w:r w:rsidR="00696595">
        <w:rPr>
          <w:rFonts w:ascii="Arial" w:hAnsi="Arial" w:cs="Arial"/>
          <w:sz w:val="20"/>
        </w:rPr>
        <w:t>ve Specifických pravidlech pro žadatele</w:t>
      </w:r>
      <w:r w:rsidR="006C5ABA">
        <w:rPr>
          <w:rFonts w:ascii="Arial" w:hAnsi="Arial" w:cs="Arial"/>
          <w:sz w:val="20"/>
        </w:rPr>
        <w:t xml:space="preserve"> a příjemce (</w:t>
      </w:r>
      <w:r w:rsidR="006C5ABA" w:rsidRPr="00117758">
        <w:rPr>
          <w:rFonts w:ascii="Arial" w:hAnsi="Arial" w:cs="Arial"/>
          <w:sz w:val="20"/>
        </w:rPr>
        <w:t>dále jen „SPŽP“).</w:t>
      </w:r>
    </w:p>
    <w:p w14:paraId="47A3A959" w14:textId="77777777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na sebe převzal závazek poskytovat </w:t>
      </w:r>
      <w:r w:rsidR="00383148">
        <w:rPr>
          <w:rFonts w:ascii="Arial" w:hAnsi="Arial" w:cs="Arial"/>
          <w:sz w:val="20"/>
        </w:rPr>
        <w:t>SOHZ</w:t>
      </w:r>
      <w:r w:rsidR="009A6143" w:rsidRPr="00056E05">
        <w:rPr>
          <w:rFonts w:ascii="Arial" w:hAnsi="Arial" w:cs="Arial"/>
          <w:sz w:val="20"/>
        </w:rPr>
        <w:t xml:space="preserve"> </w:t>
      </w:r>
      <w:r w:rsidR="004466A3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 xml:space="preserve">dle podmínek </w:t>
      </w:r>
      <w:r w:rsidR="00696595">
        <w:rPr>
          <w:rFonts w:ascii="Arial" w:hAnsi="Arial" w:cs="Arial"/>
          <w:sz w:val="20"/>
        </w:rPr>
        <w:t xml:space="preserve">uvedených v  </w:t>
      </w:r>
      <w:r w:rsidR="003E207D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</w:t>
      </w:r>
      <w:r w:rsidR="00892872">
        <w:rPr>
          <w:rFonts w:ascii="Arial" w:hAnsi="Arial" w:cs="Arial"/>
          <w:sz w:val="20"/>
        </w:rPr>
        <w:t>m</w:t>
      </w:r>
      <w:r w:rsidR="009A6143" w:rsidRPr="00056E05">
        <w:rPr>
          <w:rFonts w:ascii="Arial" w:hAnsi="Arial" w:cs="Arial"/>
          <w:sz w:val="20"/>
        </w:rPr>
        <w:t xml:space="preserve"> aktu</w:t>
      </w:r>
      <w:r w:rsidR="004466A3">
        <w:rPr>
          <w:rFonts w:ascii="Arial" w:hAnsi="Arial" w:cs="Arial"/>
          <w:sz w:val="20"/>
        </w:rPr>
        <w:t xml:space="preserve"> a SPŽP</w:t>
      </w:r>
      <w:r w:rsidR="009A6143" w:rsidRPr="00056E05">
        <w:rPr>
          <w:rFonts w:ascii="Arial" w:hAnsi="Arial" w:cs="Arial"/>
          <w:sz w:val="20"/>
        </w:rPr>
        <w:t xml:space="preserve">. </w:t>
      </w:r>
    </w:p>
    <w:p w14:paraId="6CA49445" w14:textId="62C24BDE" w:rsidR="0096084E" w:rsidRPr="0037498B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Pověřovatel </w:t>
      </w:r>
      <w:r w:rsidR="009A6143" w:rsidRPr="00056E05">
        <w:rPr>
          <w:rFonts w:ascii="Arial" w:hAnsi="Arial" w:cs="Arial"/>
          <w:sz w:val="20"/>
        </w:rPr>
        <w:t>se zavazuje poskytnout</w:t>
      </w:r>
      <w:r>
        <w:rPr>
          <w:rFonts w:ascii="Arial" w:hAnsi="Arial"/>
          <w:sz w:val="20"/>
        </w:rPr>
        <w:t xml:space="preserve"> poskytovateli</w:t>
      </w:r>
      <w:r w:rsidR="005F4998">
        <w:rPr>
          <w:rFonts w:ascii="Arial" w:hAnsi="Arial"/>
          <w:sz w:val="20"/>
        </w:rPr>
        <w:t xml:space="preserve"> </w:t>
      </w:r>
      <w:r w:rsidR="00257EDD">
        <w:rPr>
          <w:rFonts w:ascii="Arial" w:hAnsi="Arial"/>
          <w:sz w:val="20"/>
        </w:rPr>
        <w:t xml:space="preserve">dotaci </w:t>
      </w:r>
      <w:r w:rsidR="00AD600D">
        <w:rPr>
          <w:rFonts w:ascii="Arial" w:hAnsi="Arial"/>
          <w:sz w:val="20"/>
        </w:rPr>
        <w:t>po</w:t>
      </w:r>
      <w:r w:rsidR="005F4998">
        <w:rPr>
          <w:rFonts w:ascii="Arial" w:hAnsi="Arial"/>
          <w:sz w:val="20"/>
        </w:rPr>
        <w:t xml:space="preserve">dle pravidel </w:t>
      </w:r>
      <w:r w:rsidR="00B802E7">
        <w:rPr>
          <w:rFonts w:ascii="Arial" w:hAnsi="Arial"/>
          <w:sz w:val="20"/>
        </w:rPr>
        <w:t>Rozhodnutí 2012/21/EU</w:t>
      </w:r>
      <w:r w:rsidR="005F4998">
        <w:rPr>
          <w:rFonts w:ascii="Arial" w:hAnsi="Arial" w:cs="Arial"/>
          <w:sz w:val="20"/>
        </w:rPr>
        <w:t xml:space="preserve"> ve formě </w:t>
      </w:r>
      <w:r w:rsidR="009A6143" w:rsidRPr="00056E05">
        <w:rPr>
          <w:rFonts w:ascii="Arial" w:hAnsi="Arial" w:cs="Arial"/>
          <w:sz w:val="20"/>
        </w:rPr>
        <w:t>vyrovnávací platb</w:t>
      </w:r>
      <w:r w:rsidR="005F4998">
        <w:rPr>
          <w:rFonts w:ascii="Arial" w:hAnsi="Arial" w:cs="Arial"/>
          <w:sz w:val="20"/>
        </w:rPr>
        <w:t>y</w:t>
      </w:r>
      <w:r w:rsidR="005F4998">
        <w:rPr>
          <w:color w:val="1F497D"/>
        </w:rPr>
        <w:t xml:space="preserve"> </w:t>
      </w:r>
      <w:r w:rsidR="009A6143" w:rsidRPr="00056E05">
        <w:rPr>
          <w:rFonts w:ascii="Arial" w:hAnsi="Arial" w:cs="Arial"/>
          <w:sz w:val="20"/>
        </w:rPr>
        <w:t xml:space="preserve">na zajištění činností týkajících se závazku poskytovat </w:t>
      </w:r>
      <w:r w:rsidR="00A74974">
        <w:rPr>
          <w:rFonts w:ascii="Arial" w:hAnsi="Arial" w:cs="Arial"/>
          <w:sz w:val="20"/>
        </w:rPr>
        <w:t xml:space="preserve">SOHZ </w:t>
      </w:r>
      <w:r w:rsidR="006C5ABA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>dle článku I. odst</w:t>
      </w:r>
      <w:r w:rsidR="009A6143" w:rsidRPr="00384353">
        <w:rPr>
          <w:rFonts w:ascii="Arial" w:hAnsi="Arial" w:cs="Arial"/>
          <w:sz w:val="20"/>
        </w:rPr>
        <w:t>. 2</w:t>
      </w:r>
      <w:r w:rsidR="009A6143" w:rsidRPr="00056E05">
        <w:rPr>
          <w:rFonts w:ascii="Arial" w:hAnsi="Arial" w:cs="Arial"/>
          <w:sz w:val="20"/>
        </w:rPr>
        <w:t xml:space="preserve"> </w:t>
      </w:r>
      <w:r w:rsidR="005B4065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 Vyrovnávací platba bude poskytnuta z rozpočtových prostředků</w:t>
      </w:r>
      <w:r>
        <w:rPr>
          <w:rFonts w:ascii="Arial" w:hAnsi="Arial" w:cs="Arial"/>
          <w:sz w:val="20"/>
        </w:rPr>
        <w:t xml:space="preserve"> Integrovaného regionálního </w:t>
      </w:r>
      <w:r w:rsidR="00783C3D">
        <w:rPr>
          <w:rFonts w:ascii="Arial" w:hAnsi="Arial" w:cs="Arial"/>
          <w:sz w:val="20"/>
        </w:rPr>
        <w:t xml:space="preserve">operačního </w:t>
      </w:r>
      <w:r>
        <w:rPr>
          <w:rFonts w:ascii="Arial" w:hAnsi="Arial" w:cs="Arial"/>
          <w:sz w:val="20"/>
        </w:rPr>
        <w:t>programu</w:t>
      </w:r>
      <w:r w:rsidR="0003347D">
        <w:rPr>
          <w:rFonts w:ascii="Arial" w:hAnsi="Arial" w:cs="Arial"/>
          <w:sz w:val="20"/>
        </w:rPr>
        <w:t xml:space="preserve"> </w:t>
      </w:r>
      <w:r w:rsidR="00512F1F">
        <w:rPr>
          <w:rFonts w:ascii="Arial" w:hAnsi="Arial" w:cs="Arial"/>
          <w:sz w:val="20"/>
        </w:rPr>
        <w:t>poskytovateli</w:t>
      </w:r>
      <w:r w:rsidR="00512F1F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</w:t>
      </w:r>
      <w:r w:rsidR="00FE0FA6">
        <w:rPr>
          <w:rFonts w:ascii="Arial" w:hAnsi="Arial" w:cs="Arial"/>
          <w:sz w:val="20"/>
        </w:rPr>
        <w:t xml:space="preserve"> </w:t>
      </w:r>
      <w:r w:rsidR="004A58A6">
        <w:rPr>
          <w:rFonts w:ascii="Arial" w:hAnsi="Arial" w:cs="Arial"/>
          <w:sz w:val="20"/>
        </w:rPr>
        <w:t xml:space="preserve">výstavbu nových sociálních bytů, </w:t>
      </w:r>
      <w:r w:rsidR="00FE0FA6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ořízení </w:t>
      </w:r>
      <w:r w:rsidR="00877145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(bytů)</w:t>
      </w:r>
      <w:r>
        <w:rPr>
          <w:rFonts w:ascii="Arial" w:hAnsi="Arial" w:cs="Arial"/>
          <w:sz w:val="20"/>
        </w:rPr>
        <w:t xml:space="preserve"> </w:t>
      </w:r>
      <w:r w:rsidR="004A58A6">
        <w:rPr>
          <w:rFonts w:ascii="Arial" w:hAnsi="Arial" w:cs="Arial"/>
          <w:sz w:val="20"/>
        </w:rPr>
        <w:t>formou nákupu, rekonstrukce bytů</w:t>
      </w:r>
      <w:r w:rsidR="00DE1320">
        <w:rPr>
          <w:rFonts w:ascii="Arial" w:hAnsi="Arial" w:cs="Arial"/>
          <w:sz w:val="20"/>
        </w:rPr>
        <w:t xml:space="preserve"> a nebytových prostor</w:t>
      </w:r>
      <w:r w:rsidR="00844128">
        <w:rPr>
          <w:rFonts w:ascii="Arial" w:hAnsi="Arial" w:cs="Arial"/>
          <w:sz w:val="20"/>
        </w:rPr>
        <w:t>, či pořízení nebytových prostor</w:t>
      </w:r>
      <w:r w:rsidR="006A571D">
        <w:rPr>
          <w:rFonts w:ascii="Arial" w:hAnsi="Arial" w:cs="Arial"/>
          <w:sz w:val="20"/>
        </w:rPr>
        <w:t xml:space="preserve"> (dále jen „pořízení bytu (bytů)“)</w:t>
      </w:r>
      <w:r w:rsidR="0084412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nezbytn</w:t>
      </w:r>
      <w:r w:rsidR="00844128">
        <w:rPr>
          <w:rFonts w:ascii="Arial" w:hAnsi="Arial" w:cs="Arial"/>
          <w:sz w:val="20"/>
        </w:rPr>
        <w:t>ých</w:t>
      </w:r>
      <w:r>
        <w:rPr>
          <w:rFonts w:ascii="Arial" w:hAnsi="Arial" w:cs="Arial"/>
          <w:sz w:val="20"/>
        </w:rPr>
        <w:t xml:space="preserve"> k poskytování </w:t>
      </w:r>
      <w:r w:rsidR="0039319D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odle článku I. odst. 4 </w:t>
      </w:r>
      <w:r w:rsidR="005B4065">
        <w:rPr>
          <w:rFonts w:ascii="Arial" w:hAnsi="Arial" w:cs="Arial"/>
          <w:sz w:val="20"/>
        </w:rPr>
        <w:lastRenderedPageBreak/>
        <w:t>P</w:t>
      </w:r>
      <w:r w:rsidR="009A6143" w:rsidRPr="00056E05">
        <w:rPr>
          <w:rFonts w:ascii="Arial" w:hAnsi="Arial" w:cs="Arial"/>
          <w:sz w:val="20"/>
        </w:rPr>
        <w:t xml:space="preserve">ověřovacího aktu na základě předložené žádosti o podporu. </w:t>
      </w:r>
      <w:r w:rsidR="009A6143" w:rsidRPr="0037498B">
        <w:rPr>
          <w:rFonts w:ascii="Arial" w:hAnsi="Arial" w:cs="Arial"/>
          <w:sz w:val="20"/>
        </w:rPr>
        <w:t>Výše vyrovnávací platby je určena podle článku II</w:t>
      </w:r>
      <w:r w:rsidR="004A405E" w:rsidRPr="0037498B">
        <w:rPr>
          <w:rFonts w:ascii="Arial" w:hAnsi="Arial" w:cs="Arial"/>
          <w:sz w:val="20"/>
        </w:rPr>
        <w:t>I</w:t>
      </w:r>
      <w:r w:rsidR="009A6143" w:rsidRPr="0037498B">
        <w:rPr>
          <w:rFonts w:ascii="Arial" w:hAnsi="Arial" w:cs="Arial"/>
          <w:sz w:val="20"/>
        </w:rPr>
        <w:t xml:space="preserve">. </w:t>
      </w:r>
      <w:r w:rsidR="00931C4C" w:rsidRPr="0037498B">
        <w:rPr>
          <w:rFonts w:ascii="Arial" w:hAnsi="Arial" w:cs="Arial"/>
          <w:sz w:val="20"/>
        </w:rPr>
        <w:t>P</w:t>
      </w:r>
      <w:r w:rsidR="009A6143" w:rsidRPr="0037498B">
        <w:rPr>
          <w:rFonts w:ascii="Arial" w:hAnsi="Arial" w:cs="Arial"/>
          <w:sz w:val="20"/>
        </w:rPr>
        <w:t>ověřovacího aktu.</w:t>
      </w:r>
    </w:p>
    <w:p w14:paraId="00D90C36" w14:textId="77777777" w:rsidR="0096084E" w:rsidRDefault="0096084E" w:rsidP="0096084E">
      <w:pPr>
        <w:pStyle w:val="Odstavecseseznamem"/>
        <w:rPr>
          <w:rFonts w:ascii="Arial" w:hAnsi="Arial" w:cs="Arial"/>
          <w:sz w:val="20"/>
        </w:rPr>
      </w:pPr>
    </w:p>
    <w:p w14:paraId="21B631E3" w14:textId="77777777" w:rsidR="009A6143" w:rsidRPr="00056E05" w:rsidRDefault="009A6143" w:rsidP="0096084E">
      <w:pPr>
        <w:pStyle w:val="Odstavecseseznamem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 </w:t>
      </w:r>
    </w:p>
    <w:p w14:paraId="65A482C4" w14:textId="29CE6597" w:rsidR="009A6143" w:rsidRPr="00056E05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se zavazuje, že bude poskytovat </w:t>
      </w:r>
      <w:r w:rsidR="00A74974">
        <w:rPr>
          <w:rFonts w:ascii="Arial" w:hAnsi="Arial" w:cs="Arial"/>
          <w:sz w:val="20"/>
        </w:rPr>
        <w:t xml:space="preserve">SOHZ </w:t>
      </w:r>
      <w:r w:rsidR="00597AED">
        <w:rPr>
          <w:rFonts w:ascii="Arial" w:hAnsi="Arial" w:cs="Arial"/>
          <w:sz w:val="20"/>
        </w:rPr>
        <w:t>sociálního bydlení formou pronájmu byt</w:t>
      </w:r>
      <w:r w:rsidR="00D01112">
        <w:rPr>
          <w:rFonts w:ascii="Arial" w:hAnsi="Arial" w:cs="Arial"/>
          <w:sz w:val="20"/>
        </w:rPr>
        <w:t>u (bytů)</w:t>
      </w:r>
      <w:r w:rsidR="00597AED">
        <w:rPr>
          <w:rFonts w:ascii="Arial" w:hAnsi="Arial" w:cs="Arial"/>
          <w:sz w:val="20"/>
        </w:rPr>
        <w:t xml:space="preserve"> za </w:t>
      </w:r>
      <w:r w:rsidR="00DB445D" w:rsidRPr="0050206C">
        <w:rPr>
          <w:rFonts w:ascii="Arial" w:hAnsi="Arial"/>
          <w:sz w:val="20"/>
        </w:rPr>
        <w:t>stanovené</w:t>
      </w:r>
      <w:r w:rsidR="00597AED" w:rsidRPr="0050206C">
        <w:rPr>
          <w:rFonts w:ascii="Arial" w:hAnsi="Arial"/>
          <w:sz w:val="20"/>
        </w:rPr>
        <w:t xml:space="preserve"> </w:t>
      </w:r>
      <w:r w:rsidR="00C004FE" w:rsidRPr="0050206C">
        <w:rPr>
          <w:rFonts w:ascii="Arial" w:hAnsi="Arial"/>
          <w:sz w:val="20"/>
        </w:rPr>
        <w:t>nájemné</w:t>
      </w:r>
      <w:r w:rsidR="00C004FE">
        <w:rPr>
          <w:rFonts w:ascii="Arial" w:hAnsi="Arial"/>
          <w:sz w:val="20"/>
        </w:rPr>
        <w:t xml:space="preserve"> </w:t>
      </w:r>
      <w:r w:rsidR="00DD11D1">
        <w:rPr>
          <w:rFonts w:ascii="Arial" w:hAnsi="Arial"/>
          <w:sz w:val="20"/>
        </w:rPr>
        <w:t>a pod</w:t>
      </w:r>
      <w:r w:rsidR="00F80265">
        <w:rPr>
          <w:rFonts w:ascii="Arial" w:hAnsi="Arial"/>
          <w:sz w:val="20"/>
        </w:rPr>
        <w:t>mínek vymezených v</w:t>
      </w:r>
      <w:r w:rsidR="00AC0AEF">
        <w:rPr>
          <w:rFonts w:ascii="Arial" w:hAnsi="Arial"/>
          <w:sz w:val="20"/>
        </w:rPr>
        <w:t> </w:t>
      </w:r>
      <w:r w:rsidR="00F80265">
        <w:rPr>
          <w:rFonts w:ascii="Arial" w:hAnsi="Arial"/>
          <w:sz w:val="20"/>
        </w:rPr>
        <w:t>SPŽP</w:t>
      </w:r>
      <w:r w:rsidR="00AC0AEF">
        <w:rPr>
          <w:rFonts w:ascii="Arial" w:hAnsi="Arial"/>
          <w:sz w:val="20"/>
        </w:rPr>
        <w:t>.</w:t>
      </w:r>
      <w:r w:rsidR="00F80265">
        <w:rPr>
          <w:rFonts w:ascii="Arial" w:hAnsi="Arial"/>
          <w:sz w:val="20"/>
        </w:rPr>
        <w:t xml:space="preserve"> </w:t>
      </w:r>
      <w:r w:rsidR="005807D0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bude poskytována v</w:t>
      </w:r>
      <w:r w:rsidR="00D01112">
        <w:rPr>
          <w:rFonts w:ascii="Arial" w:hAnsi="Arial" w:cs="Arial"/>
          <w:sz w:val="20"/>
        </w:rPr>
        <w:t> </w:t>
      </w:r>
      <w:r w:rsidR="00DB445D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</w:t>
      </w:r>
      <w:r w:rsidR="00C81A6B">
        <w:rPr>
          <w:rFonts w:ascii="Arial" w:hAnsi="Arial" w:cs="Arial"/>
          <w:sz w:val="20"/>
        </w:rPr>
        <w:t>ech</w:t>
      </w:r>
      <w:r w:rsidR="00D01112">
        <w:rPr>
          <w:rFonts w:ascii="Arial" w:hAnsi="Arial" w:cs="Arial"/>
          <w:sz w:val="20"/>
        </w:rPr>
        <w:t>)</w:t>
      </w:r>
      <w:r w:rsidR="0050206C">
        <w:rPr>
          <w:rFonts w:ascii="Arial" w:hAnsi="Arial" w:cs="Arial"/>
          <w:sz w:val="20"/>
        </w:rPr>
        <w:t xml:space="preserve"> které jsou předmětem žádosti o podporu</w:t>
      </w:r>
      <w:r w:rsidR="009546AF">
        <w:rPr>
          <w:rFonts w:ascii="Arial" w:hAnsi="Arial" w:cs="Arial"/>
          <w:sz w:val="20"/>
        </w:rPr>
        <w:t xml:space="preserve"> </w:t>
      </w:r>
      <w:r w:rsidR="009546AF" w:rsidRPr="0057176B">
        <w:rPr>
          <w:rFonts w:ascii="Arial" w:hAnsi="Arial"/>
          <w:sz w:val="20"/>
        </w:rPr>
        <w:t>[</w:t>
      </w:r>
      <w:r w:rsidR="009546AF" w:rsidRPr="009546AF">
        <w:rPr>
          <w:rFonts w:ascii="Arial" w:hAnsi="Arial" w:cs="Arial"/>
          <w:i/>
          <w:sz w:val="20"/>
          <w:highlight w:val="lightGray"/>
        </w:rPr>
        <w:t>registrační číslo projektu</w:t>
      </w:r>
      <w:r w:rsidR="009546AF" w:rsidRPr="0057176B">
        <w:rPr>
          <w:rFonts w:ascii="Arial" w:hAnsi="Arial"/>
          <w:sz w:val="20"/>
        </w:rPr>
        <w:t>]</w:t>
      </w:r>
      <w:r w:rsidR="00892872">
        <w:rPr>
          <w:rFonts w:ascii="Arial" w:hAnsi="Arial" w:cs="Arial"/>
          <w:sz w:val="20"/>
        </w:rPr>
        <w:t>.</w:t>
      </w:r>
    </w:p>
    <w:p w14:paraId="73399279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2B51875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7877F493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Článek II</w:t>
      </w:r>
    </w:p>
    <w:p w14:paraId="2CEEB4D3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Obecná ustanovení a pojmy</w:t>
      </w:r>
    </w:p>
    <w:p w14:paraId="5C9BD226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0D9F14A" w14:textId="67146FCB" w:rsidR="00E32692" w:rsidRDefault="00E32692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 xml:space="preserve">V rámci </w:t>
      </w:r>
      <w:r w:rsidR="006D02A7">
        <w:rPr>
          <w:rFonts w:ascii="Arial" w:eastAsiaTheme="minorHAnsi" w:hAnsi="Arial" w:cs="Arial"/>
          <w:sz w:val="20"/>
          <w:lang w:eastAsia="en-US"/>
        </w:rPr>
        <w:t>P</w:t>
      </w:r>
      <w:r>
        <w:rPr>
          <w:rFonts w:ascii="Arial" w:eastAsiaTheme="minorHAnsi" w:hAnsi="Arial" w:cs="Arial"/>
          <w:sz w:val="20"/>
          <w:lang w:eastAsia="en-US"/>
        </w:rPr>
        <w:t>ověřovacího aktu se veřejnou podporou míní vyrovnávací platba (</w:t>
      </w:r>
      <w:r w:rsidR="00D3153F">
        <w:rPr>
          <w:rFonts w:ascii="Arial" w:eastAsiaTheme="minorHAnsi" w:hAnsi="Arial" w:cs="Arial"/>
          <w:sz w:val="20"/>
          <w:lang w:eastAsia="en-US"/>
        </w:rPr>
        <w:t>čisté náklady SOHZ sociální bydlení</w:t>
      </w:r>
      <w:r>
        <w:rPr>
          <w:rFonts w:ascii="Arial" w:eastAsiaTheme="minorHAnsi" w:hAnsi="Arial" w:cs="Arial"/>
          <w:sz w:val="20"/>
          <w:lang w:eastAsia="en-US"/>
        </w:rPr>
        <w:t>).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Účelem dotace je pořízení </w:t>
      </w:r>
      <w:r w:rsidR="003B1762">
        <w:rPr>
          <w:rFonts w:ascii="Arial" w:eastAsiaTheme="minorHAnsi" w:hAnsi="Arial" w:cs="Arial"/>
          <w:sz w:val="20"/>
          <w:lang w:eastAsia="en-US"/>
        </w:rPr>
        <w:t>bytu (bytů)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umožňující poskytovat </w:t>
      </w:r>
      <w:r w:rsidR="00C81A6B">
        <w:rPr>
          <w:rFonts w:ascii="Arial" w:eastAsiaTheme="minorHAnsi" w:hAnsi="Arial" w:cs="Arial"/>
          <w:sz w:val="20"/>
          <w:lang w:eastAsia="en-US"/>
        </w:rPr>
        <w:t xml:space="preserve">sociální bydlení </w:t>
      </w:r>
      <w:r w:rsidR="00376EE1">
        <w:rPr>
          <w:rFonts w:ascii="Arial" w:eastAsiaTheme="minorHAnsi" w:hAnsi="Arial" w:cs="Arial"/>
          <w:sz w:val="20"/>
          <w:lang w:eastAsia="en-US"/>
        </w:rPr>
        <w:t>osobám v bytové nouzi formou SOHZ</w:t>
      </w:r>
      <w:r w:rsidR="006A571D">
        <w:rPr>
          <w:rFonts w:ascii="Arial" w:eastAsiaTheme="minorHAnsi" w:hAnsi="Arial" w:cs="Arial"/>
          <w:sz w:val="20"/>
          <w:lang w:eastAsia="en-US"/>
        </w:rPr>
        <w:t xml:space="preserve"> sociální bydlení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. </w:t>
      </w:r>
    </w:p>
    <w:p w14:paraId="240A9CE5" w14:textId="77777777" w:rsidR="00A65AC7" w:rsidRDefault="00F14AEA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SOHZ</w:t>
      </w:r>
      <w:r w:rsidRPr="00053502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053502">
        <w:rPr>
          <w:rFonts w:ascii="Arial" w:eastAsiaTheme="minorHAnsi" w:hAnsi="Arial" w:cs="Arial"/>
          <w:sz w:val="20"/>
          <w:lang w:eastAsia="en-US"/>
        </w:rPr>
        <w:t>sociálního bydlení představuje pronájem bytové jednotky za</w:t>
      </w:r>
      <w:r w:rsidR="001153CD">
        <w:rPr>
          <w:rFonts w:ascii="Arial" w:eastAsiaTheme="minorHAnsi" w:hAnsi="Arial" w:cs="Arial"/>
          <w:sz w:val="20"/>
        </w:rPr>
        <w:t xml:space="preserve"> </w:t>
      </w:r>
      <w:r w:rsidR="001153CD" w:rsidRPr="006A571D">
        <w:rPr>
          <w:rFonts w:ascii="Arial" w:eastAsiaTheme="minorHAnsi" w:hAnsi="Arial" w:cs="Arial"/>
          <w:sz w:val="20"/>
        </w:rPr>
        <w:t>stanovené</w:t>
      </w:r>
      <w:r w:rsidRPr="006A571D">
        <w:rPr>
          <w:rFonts w:ascii="Arial" w:eastAsiaTheme="minorHAnsi" w:hAnsi="Arial" w:cs="Arial"/>
          <w:sz w:val="20"/>
        </w:rPr>
        <w:t xml:space="preserve"> </w:t>
      </w:r>
      <w:r w:rsidR="00597AED" w:rsidRPr="006A571D">
        <w:rPr>
          <w:rFonts w:ascii="Arial" w:eastAsiaTheme="minorHAnsi" w:hAnsi="Arial" w:cs="Arial"/>
          <w:sz w:val="20"/>
        </w:rPr>
        <w:t>nájemné</w:t>
      </w:r>
      <w:r w:rsidR="000E2AAB">
        <w:rPr>
          <w:rFonts w:ascii="Arial" w:eastAsiaTheme="minorHAnsi" w:hAnsi="Arial" w:cs="Arial"/>
          <w:sz w:val="20"/>
        </w:rPr>
        <w:t xml:space="preserve"> a</w:t>
      </w:r>
      <w:r w:rsidR="00AE2D4C">
        <w:rPr>
          <w:rFonts w:ascii="Arial" w:eastAsiaTheme="minorHAnsi" w:hAnsi="Arial" w:cs="Arial"/>
          <w:sz w:val="20"/>
        </w:rPr>
        <w:t> </w:t>
      </w:r>
      <w:r w:rsidR="000E2AAB">
        <w:rPr>
          <w:rFonts w:ascii="Arial" w:eastAsiaTheme="minorHAnsi" w:hAnsi="Arial" w:cs="Arial"/>
          <w:sz w:val="20"/>
        </w:rPr>
        <w:t xml:space="preserve">podmínek </w:t>
      </w:r>
      <w:r w:rsidR="00963A5A">
        <w:rPr>
          <w:rFonts w:ascii="Arial" w:eastAsiaTheme="minorHAnsi" w:hAnsi="Arial" w:cs="Arial"/>
          <w:sz w:val="20"/>
        </w:rPr>
        <w:t>vymezených</w:t>
      </w:r>
      <w:r w:rsidR="000E2AAB">
        <w:rPr>
          <w:rFonts w:ascii="Arial" w:eastAsiaTheme="minorHAnsi" w:hAnsi="Arial" w:cs="Arial"/>
          <w:sz w:val="20"/>
        </w:rPr>
        <w:t xml:space="preserve"> </w:t>
      </w:r>
      <w:r w:rsidR="00E01BB2">
        <w:rPr>
          <w:rFonts w:ascii="Arial" w:eastAsiaTheme="minorHAnsi" w:hAnsi="Arial" w:cs="Arial"/>
          <w:sz w:val="20"/>
        </w:rPr>
        <w:t xml:space="preserve">v </w:t>
      </w:r>
      <w:r w:rsidR="000E2AAB">
        <w:rPr>
          <w:rFonts w:ascii="Arial" w:eastAsiaTheme="minorHAnsi" w:hAnsi="Arial" w:cs="Arial"/>
          <w:sz w:val="20"/>
        </w:rPr>
        <w:t>SPŽP</w:t>
      </w:r>
      <w:r w:rsidR="00696595">
        <w:rPr>
          <w:rFonts w:ascii="Arial" w:eastAsiaTheme="minorHAnsi" w:hAnsi="Arial" w:cs="Arial"/>
          <w:sz w:val="20"/>
          <w:lang w:eastAsia="en-US"/>
        </w:rPr>
        <w:t>.</w:t>
      </w:r>
      <w:r w:rsidR="00FA4D08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4631BE14" w14:textId="77777777" w:rsidR="00A43B84" w:rsidRPr="00A43B84" w:rsidRDefault="00E06EBD" w:rsidP="00A43B84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6A571D">
        <w:rPr>
          <w:rFonts w:ascii="Arial" w:eastAsiaTheme="minorHAnsi" w:hAnsi="Arial" w:cs="Arial"/>
          <w:sz w:val="20"/>
          <w:lang w:eastAsia="en-US"/>
        </w:rPr>
        <w:t>S</w:t>
      </w:r>
      <w:r w:rsidR="00696595" w:rsidRPr="006A571D">
        <w:rPr>
          <w:rFonts w:ascii="Arial" w:eastAsiaTheme="minorHAnsi" w:hAnsi="Arial" w:cs="Arial"/>
          <w:sz w:val="20"/>
          <w:lang w:eastAsia="en-US"/>
        </w:rPr>
        <w:t>tanovené nájemné</w:t>
      </w:r>
      <w:r>
        <w:rPr>
          <w:rFonts w:ascii="Arial" w:eastAsiaTheme="minorHAnsi" w:hAnsi="Arial" w:cs="Arial"/>
          <w:sz w:val="20"/>
          <w:lang w:eastAsia="en-US"/>
        </w:rPr>
        <w:t xml:space="preserve"> je nájemné určené</w:t>
      </w:r>
      <w:r w:rsidR="00FA4D08" w:rsidRPr="00BF133B">
        <w:rPr>
          <w:rFonts w:ascii="Arial" w:eastAsiaTheme="minorHAnsi" w:hAnsi="Arial" w:cs="Arial"/>
          <w:sz w:val="20"/>
          <w:lang w:eastAsia="en-US"/>
        </w:rPr>
        <w:t xml:space="preserve"> poskytovatel</w:t>
      </w:r>
      <w:r>
        <w:rPr>
          <w:rFonts w:ascii="Arial" w:eastAsiaTheme="minorHAnsi" w:hAnsi="Arial" w:cs="Arial"/>
          <w:sz w:val="20"/>
          <w:lang w:eastAsia="en-US"/>
        </w:rPr>
        <w:t>em</w:t>
      </w:r>
      <w:r w:rsidR="00F4769E">
        <w:rPr>
          <w:rFonts w:ascii="Arial" w:eastAsiaTheme="minorHAnsi" w:hAnsi="Arial" w:cs="Arial"/>
          <w:sz w:val="20"/>
          <w:lang w:eastAsia="en-US"/>
        </w:rPr>
        <w:t>,</w:t>
      </w:r>
      <w:r w:rsidR="00694938" w:rsidRPr="00BF133B">
        <w:rPr>
          <w:rFonts w:ascii="Arial" w:eastAsiaTheme="minorHAnsi" w:hAnsi="Arial" w:cs="Arial"/>
          <w:sz w:val="20"/>
          <w:lang w:eastAsia="en-US"/>
        </w:rPr>
        <w:t> </w:t>
      </w:r>
      <w:r>
        <w:rPr>
          <w:rFonts w:ascii="Arial" w:eastAsiaTheme="minorHAnsi" w:hAnsi="Arial" w:cs="Arial"/>
          <w:sz w:val="20"/>
          <w:lang w:eastAsia="en-US"/>
        </w:rPr>
        <w:t xml:space="preserve">které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nepřevýší maximální limit nájemného</w:t>
      </w:r>
      <w:r w:rsidR="00E01BB2">
        <w:rPr>
          <w:rFonts w:ascii="Arial" w:eastAsiaTheme="minorHAnsi" w:hAnsi="Arial" w:cs="Arial"/>
          <w:sz w:val="20"/>
          <w:lang w:eastAsia="en-US"/>
        </w:rPr>
        <w:t>,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 xml:space="preserve"> 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>určený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 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v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S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PŽP a za podmínek v SPŽP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vyjmenovaných</w:t>
      </w:r>
      <w:r w:rsidR="008B5083" w:rsidRPr="00BF133B">
        <w:rPr>
          <w:rFonts w:ascii="Arial" w:eastAsiaTheme="minorHAnsi" w:hAnsi="Arial" w:cs="Arial"/>
          <w:sz w:val="20"/>
          <w:lang w:eastAsia="en-US"/>
        </w:rPr>
        <w:t>.</w:t>
      </w:r>
    </w:p>
    <w:p w14:paraId="64178C90" w14:textId="1611BE80" w:rsidR="007C3B43" w:rsidRPr="007C3B43" w:rsidRDefault="002303FE" w:rsidP="007C3B43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A43B84">
        <w:rPr>
          <w:rFonts w:ascii="Arial" w:eastAsiaTheme="minorHAnsi" w:hAnsi="Arial" w:cs="Arial"/>
          <w:sz w:val="20"/>
          <w:lang w:eastAsia="en-US"/>
        </w:rPr>
        <w:t>Vyrovnávací platba</w:t>
      </w:r>
      <w:r w:rsidR="00886892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>představuje</w:t>
      </w:r>
      <w:r w:rsidR="006A571D">
        <w:rPr>
          <w:rFonts w:ascii="Arial" w:eastAsiaTheme="minorHAnsi" w:hAnsi="Arial" w:cs="Arial"/>
          <w:sz w:val="20"/>
          <w:lang w:eastAsia="en-US"/>
        </w:rPr>
        <w:t xml:space="preserve"> </w:t>
      </w:r>
      <w:r w:rsidR="00DA78FE">
        <w:rPr>
          <w:rFonts w:ascii="Arial" w:eastAsiaTheme="minorHAnsi" w:hAnsi="Arial" w:cs="Arial"/>
          <w:sz w:val="20"/>
          <w:lang w:eastAsia="en-US"/>
        </w:rPr>
        <w:t>čisté náklady SOHZ sociální bydlení</w:t>
      </w:r>
      <w:r w:rsidR="00FA4D08" w:rsidRPr="00A43B84">
        <w:rPr>
          <w:rFonts w:ascii="Arial" w:eastAsiaTheme="minorHAnsi" w:hAnsi="Arial" w:cs="Arial"/>
          <w:sz w:val="20"/>
          <w:lang w:eastAsia="en-US"/>
        </w:rPr>
        <w:t>.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CF5FA5">
        <w:rPr>
          <w:rFonts w:ascii="Arial" w:eastAsiaTheme="minorHAnsi" w:hAnsi="Arial" w:cs="Arial"/>
          <w:sz w:val="20"/>
          <w:lang w:eastAsia="en-US"/>
        </w:rPr>
        <w:t xml:space="preserve">Míra spolufinancování z Evropského fondu pro regionální rozvoj a státního rozpočtu je stanovena výzvou. </w:t>
      </w:r>
    </w:p>
    <w:p w14:paraId="76785B3B" w14:textId="4E017777" w:rsidR="00AB50D6" w:rsidRPr="00737C4B" w:rsidRDefault="00597AED" w:rsidP="00483D0F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/>
          <w:sz w:val="20"/>
        </w:rPr>
      </w:pPr>
      <w:r w:rsidRPr="00AB50D6">
        <w:rPr>
          <w:rFonts w:ascii="Arial" w:eastAsiaTheme="minorHAnsi" w:hAnsi="Arial" w:cs="Arial"/>
          <w:sz w:val="20"/>
          <w:lang w:eastAsia="en-US"/>
        </w:rPr>
        <w:t xml:space="preserve">Dotovány </w:t>
      </w:r>
      <w:r w:rsidR="00181D58" w:rsidRPr="00056E05">
        <w:rPr>
          <w:rFonts w:ascii="Arial" w:hAnsi="Arial" w:cs="Arial"/>
          <w:sz w:val="20"/>
        </w:rPr>
        <w:t>z rozpočtových prostředků</w:t>
      </w:r>
      <w:r w:rsidR="00181D58">
        <w:rPr>
          <w:rFonts w:ascii="Arial" w:hAnsi="Arial" w:cs="Arial"/>
          <w:sz w:val="20"/>
        </w:rPr>
        <w:t xml:space="preserve"> Integrovaného regionálního operačního programu </w:t>
      </w:r>
      <w:r w:rsidRPr="00AB50D6">
        <w:rPr>
          <w:rFonts w:ascii="Arial" w:eastAsiaTheme="minorHAnsi" w:hAnsi="Arial" w:cs="Arial"/>
          <w:sz w:val="20"/>
          <w:lang w:eastAsia="en-US"/>
        </w:rPr>
        <w:t xml:space="preserve">jsou </w:t>
      </w:r>
      <w:r w:rsidR="00275A1B" w:rsidRPr="00AB50D6">
        <w:rPr>
          <w:rFonts w:ascii="Arial" w:eastAsiaTheme="minorHAnsi" w:hAnsi="Arial" w:cs="Arial"/>
          <w:sz w:val="20"/>
          <w:lang w:eastAsia="en-US"/>
        </w:rPr>
        <w:t xml:space="preserve">výdaje 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 xml:space="preserve">na pořízení 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>byt</w:t>
      </w:r>
      <w:r w:rsidR="001E2C85">
        <w:rPr>
          <w:rFonts w:ascii="Arial" w:eastAsiaTheme="minorHAnsi" w:hAnsi="Arial" w:cs="Arial"/>
          <w:sz w:val="20"/>
          <w:lang w:eastAsia="en-US"/>
        </w:rPr>
        <w:t>u (bytů)</w:t>
      </w:r>
      <w:r w:rsidR="00607225">
        <w:rPr>
          <w:rFonts w:ascii="Arial" w:eastAsiaTheme="minorHAnsi" w:hAnsi="Arial" w:cs="Arial"/>
          <w:sz w:val="20"/>
          <w:lang w:eastAsia="en-US"/>
        </w:rPr>
        <w:t xml:space="preserve"> 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>a pořízení nezbytného základního vybavení</w:t>
      </w:r>
      <w:r w:rsidR="001F3E0E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  <w:r w:rsidR="00196529" w:rsidRPr="00AB50D6">
        <w:rPr>
          <w:rFonts w:ascii="Arial" w:eastAsiaTheme="minorHAnsi" w:hAnsi="Arial" w:cs="Arial"/>
          <w:sz w:val="20"/>
          <w:lang w:eastAsia="en-US"/>
        </w:rPr>
        <w:t>v souladu s požadavky uvedenými ve S</w:t>
      </w:r>
      <w:r w:rsidR="002303FE" w:rsidRPr="00AB50D6">
        <w:rPr>
          <w:rFonts w:ascii="Arial" w:eastAsiaTheme="minorHAnsi" w:hAnsi="Arial" w:cs="Arial"/>
          <w:sz w:val="20"/>
          <w:lang w:eastAsia="en-US"/>
        </w:rPr>
        <w:t>PŽP</w:t>
      </w:r>
      <w:r w:rsidRPr="00AB50D6">
        <w:rPr>
          <w:rFonts w:ascii="Arial" w:eastAsiaTheme="minorHAnsi" w:hAnsi="Arial" w:cs="Arial"/>
          <w:sz w:val="20"/>
          <w:lang w:eastAsia="en-US"/>
        </w:rPr>
        <w:t>.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02975457" w14:textId="3E7C925D" w:rsidR="0058680C" w:rsidRPr="001A3206" w:rsidRDefault="00597AED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</w:rPr>
      </w:pPr>
      <w:r w:rsidRPr="00FC2A0B">
        <w:rPr>
          <w:rFonts w:ascii="Arial" w:eastAsiaTheme="minorHAnsi" w:hAnsi="Arial" w:cs="Arial"/>
          <w:sz w:val="20"/>
          <w:lang w:eastAsia="en-US"/>
        </w:rPr>
        <w:t>Pověřovací akt se uzavírá</w:t>
      </w:r>
      <w:r w:rsidR="001153CD" w:rsidRPr="00FC2A0B">
        <w:rPr>
          <w:rFonts w:ascii="Arial" w:eastAsiaTheme="minorHAnsi" w:hAnsi="Arial" w:cs="Arial"/>
          <w:sz w:val="20"/>
          <w:lang w:eastAsia="en-US"/>
        </w:rPr>
        <w:t xml:space="preserve"> před vydáním </w:t>
      </w:r>
      <w:r w:rsidR="001F3E0E" w:rsidRPr="00FC2A0B">
        <w:rPr>
          <w:rFonts w:ascii="Arial" w:eastAsiaTheme="minorHAnsi" w:hAnsi="Arial" w:cs="Arial"/>
          <w:sz w:val="20"/>
          <w:lang w:eastAsia="en-US"/>
        </w:rPr>
        <w:t>R</w:t>
      </w:r>
      <w:r w:rsidR="001153CD" w:rsidRPr="001A3206">
        <w:rPr>
          <w:rFonts w:ascii="Arial" w:eastAsiaTheme="minorHAnsi" w:hAnsi="Arial" w:cs="Arial"/>
          <w:sz w:val="20"/>
          <w:lang w:eastAsia="en-US"/>
        </w:rPr>
        <w:t>ozhodnutí</w:t>
      </w:r>
      <w:r w:rsidR="008B5083" w:rsidRPr="001A3206">
        <w:rPr>
          <w:rFonts w:ascii="Arial" w:eastAsiaTheme="minorHAnsi" w:hAnsi="Arial" w:cs="Arial"/>
          <w:sz w:val="20"/>
          <w:lang w:eastAsia="en-US"/>
        </w:rPr>
        <w:t xml:space="preserve"> </w:t>
      </w:r>
      <w:r w:rsidR="001F3E0E" w:rsidRPr="001A3206">
        <w:rPr>
          <w:rFonts w:ascii="Arial" w:eastAsiaTheme="minorHAnsi" w:hAnsi="Arial" w:cs="Arial"/>
          <w:sz w:val="20"/>
          <w:lang w:eastAsia="en-US"/>
        </w:rPr>
        <w:t>o poskytnutí dotace</w:t>
      </w:r>
      <w:r w:rsidR="002303FE" w:rsidRPr="001A3206">
        <w:rPr>
          <w:rFonts w:ascii="Arial" w:eastAsiaTheme="minorHAnsi" w:hAnsi="Arial" w:cs="Arial"/>
          <w:sz w:val="20"/>
          <w:lang w:eastAsia="en-US"/>
        </w:rPr>
        <w:t>.</w:t>
      </w:r>
      <w:r w:rsidRPr="001A3206">
        <w:rPr>
          <w:rFonts w:ascii="Arial" w:eastAsiaTheme="minorHAnsi" w:hAnsi="Arial" w:cs="Arial"/>
          <w:sz w:val="20"/>
          <w:lang w:eastAsia="en-US"/>
        </w:rPr>
        <w:t xml:space="preserve"> Platný je okamžikem podpisu oběma stranami. </w:t>
      </w:r>
      <w:r w:rsidRPr="001A3206">
        <w:rPr>
          <w:rFonts w:ascii="Arial" w:eastAsiaTheme="minorHAnsi" w:hAnsi="Arial"/>
          <w:sz w:val="20"/>
        </w:rPr>
        <w:t xml:space="preserve">Účinný je </w:t>
      </w:r>
      <w:r w:rsidRPr="00FC2A0B">
        <w:rPr>
          <w:rFonts w:ascii="Arial" w:eastAsiaTheme="minorHAnsi" w:hAnsi="Arial"/>
          <w:sz w:val="20"/>
        </w:rPr>
        <w:t xml:space="preserve">okamžikem vydání </w:t>
      </w:r>
      <w:r w:rsidR="00997211" w:rsidRPr="00FC2A0B">
        <w:rPr>
          <w:rFonts w:ascii="Arial" w:eastAsiaTheme="minorHAnsi" w:hAnsi="Arial"/>
          <w:sz w:val="20"/>
        </w:rPr>
        <w:t>R</w:t>
      </w:r>
      <w:r w:rsidRPr="00FC2A0B">
        <w:rPr>
          <w:rFonts w:ascii="Arial" w:eastAsiaTheme="minorHAnsi" w:hAnsi="Arial"/>
          <w:sz w:val="20"/>
        </w:rPr>
        <w:t>ozhodnutí o poskytnutí dotace</w:t>
      </w:r>
      <w:r w:rsidR="00376EE1" w:rsidRPr="001A3206">
        <w:rPr>
          <w:rFonts w:ascii="Arial" w:eastAsiaTheme="minorHAnsi" w:hAnsi="Arial"/>
          <w:sz w:val="20"/>
        </w:rPr>
        <w:t xml:space="preserve"> poskytovateli</w:t>
      </w:r>
      <w:r w:rsidRPr="001A3206">
        <w:rPr>
          <w:rFonts w:ascii="Arial" w:eastAsiaTheme="minorHAnsi" w:hAnsi="Arial"/>
          <w:sz w:val="20"/>
        </w:rPr>
        <w:t>.</w:t>
      </w:r>
    </w:p>
    <w:p w14:paraId="028B4488" w14:textId="77777777" w:rsidR="0096084E" w:rsidRDefault="0096084E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33D0CE5B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C894554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II</w:t>
      </w:r>
      <w:r w:rsidR="00597AED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69359CA0" w14:textId="77777777" w:rsidR="005F711E" w:rsidRPr="00056E05" w:rsidRDefault="005F711E" w:rsidP="005F711E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Výše poskytnuté vyrovnávací platby</w:t>
      </w:r>
    </w:p>
    <w:p w14:paraId="48C6A2BB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32114E14" w14:textId="1FCF89C1" w:rsidR="00AD3D2C" w:rsidRDefault="006F3299" w:rsidP="00D02828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AD3D2C">
        <w:rPr>
          <w:rFonts w:ascii="Arial" w:hAnsi="Arial" w:cs="Arial"/>
          <w:sz w:val="20"/>
        </w:rPr>
        <w:t xml:space="preserve">Kompenzační mechanismus </w:t>
      </w:r>
      <w:r w:rsidR="00EA337F">
        <w:rPr>
          <w:rFonts w:ascii="Arial" w:hAnsi="Arial" w:cs="Arial"/>
          <w:sz w:val="20"/>
        </w:rPr>
        <w:t>představuje</w:t>
      </w:r>
      <w:r w:rsidRPr="00EA337F">
        <w:rPr>
          <w:rFonts w:ascii="Arial" w:hAnsi="Arial" w:cs="Arial"/>
          <w:sz w:val="20"/>
        </w:rPr>
        <w:t xml:space="preserve"> rozdíl mezi současnou hodnotou nákladů vynaložených při poskytování SOHZ </w:t>
      </w:r>
      <w:r w:rsidR="00AB1243">
        <w:rPr>
          <w:rFonts w:ascii="Arial" w:hAnsi="Arial" w:cs="Arial"/>
          <w:sz w:val="20"/>
        </w:rPr>
        <w:t xml:space="preserve">sociální bydlení </w:t>
      </w:r>
      <w:r w:rsidRPr="00EA337F">
        <w:rPr>
          <w:rFonts w:ascii="Arial" w:hAnsi="Arial" w:cs="Arial"/>
          <w:sz w:val="20"/>
        </w:rPr>
        <w:t>a čistým příj</w:t>
      </w:r>
      <w:r w:rsidR="007E6D6F">
        <w:rPr>
          <w:rFonts w:ascii="Arial" w:hAnsi="Arial" w:cs="Arial"/>
          <w:sz w:val="20"/>
        </w:rPr>
        <w:t>m</w:t>
      </w:r>
      <w:r w:rsidRPr="00EA337F">
        <w:rPr>
          <w:rFonts w:ascii="Arial" w:hAnsi="Arial" w:cs="Arial"/>
          <w:sz w:val="20"/>
        </w:rPr>
        <w:t xml:space="preserve">em </w:t>
      </w:r>
      <w:r w:rsidR="00AB1243">
        <w:rPr>
          <w:rFonts w:ascii="Arial" w:hAnsi="Arial" w:cs="Arial"/>
          <w:sz w:val="20"/>
        </w:rPr>
        <w:t xml:space="preserve">SOHZ sociálním bydlení </w:t>
      </w:r>
      <w:r w:rsidRPr="00EA337F">
        <w:rPr>
          <w:rFonts w:ascii="Arial" w:hAnsi="Arial" w:cs="Arial"/>
          <w:sz w:val="20"/>
        </w:rPr>
        <w:t xml:space="preserve">za určené referenční období 20 let. </w:t>
      </w:r>
    </w:p>
    <w:p w14:paraId="5CED1182" w14:textId="77777777" w:rsidR="00B537C3" w:rsidRPr="006F3299" w:rsidRDefault="00B537C3" w:rsidP="00D02828">
      <w:pPr>
        <w:pStyle w:val="Odstavecseseznamem"/>
        <w:rPr>
          <w:rFonts w:ascii="Arial" w:hAnsi="Arial" w:cs="Arial"/>
          <w:sz w:val="20"/>
        </w:rPr>
      </w:pPr>
    </w:p>
    <w:p w14:paraId="6D551542" w14:textId="4365E465" w:rsidR="00B537C3" w:rsidRPr="00B31129" w:rsidRDefault="008C3358" w:rsidP="00AD3D2C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Čisté náklady</w:t>
      </w:r>
      <w:r w:rsidR="00B537C3" w:rsidRPr="00B31129">
        <w:rPr>
          <w:rFonts w:ascii="Arial" w:hAnsi="Arial" w:cs="Arial"/>
          <w:sz w:val="20"/>
        </w:rPr>
        <w:t xml:space="preserve"> </w:t>
      </w:r>
      <w:r w:rsidR="00A56877">
        <w:rPr>
          <w:rFonts w:ascii="Arial" w:hAnsi="Arial" w:cs="Arial"/>
          <w:sz w:val="20"/>
        </w:rPr>
        <w:t xml:space="preserve">SOHZ </w:t>
      </w:r>
      <w:r w:rsidR="00AB1243">
        <w:rPr>
          <w:rFonts w:ascii="Arial" w:hAnsi="Arial" w:cs="Arial"/>
          <w:sz w:val="20"/>
        </w:rPr>
        <w:t xml:space="preserve">sociální bydlení </w:t>
      </w:r>
      <w:r w:rsidR="00B537C3" w:rsidRPr="00B31129">
        <w:rPr>
          <w:rFonts w:ascii="Arial" w:hAnsi="Arial" w:cs="Arial"/>
          <w:sz w:val="20"/>
        </w:rPr>
        <w:t xml:space="preserve">= </w:t>
      </w:r>
      <w:r w:rsidR="00A56877">
        <w:rPr>
          <w:rFonts w:ascii="Arial" w:hAnsi="Arial" w:cs="Arial"/>
          <w:sz w:val="20"/>
        </w:rPr>
        <w:t>Náklady na úhradu</w:t>
      </w:r>
      <w:r w:rsidR="00B537C3" w:rsidRPr="00B31129">
        <w:rPr>
          <w:rFonts w:ascii="Arial" w:hAnsi="Arial" w:cs="Arial"/>
          <w:sz w:val="20"/>
        </w:rPr>
        <w:t xml:space="preserve"> SOHZ </w:t>
      </w:r>
      <w:r w:rsidR="00AB1243">
        <w:rPr>
          <w:rFonts w:ascii="Arial" w:hAnsi="Arial" w:cs="Arial"/>
          <w:sz w:val="20"/>
        </w:rPr>
        <w:t xml:space="preserve">sociální bydlení </w:t>
      </w:r>
      <w:r w:rsidR="00B537C3" w:rsidRPr="00B31129">
        <w:rPr>
          <w:rFonts w:ascii="Arial" w:hAnsi="Arial" w:cs="Arial"/>
          <w:sz w:val="20"/>
        </w:rPr>
        <w:t xml:space="preserve">– </w:t>
      </w:r>
      <w:r w:rsidR="00A56877">
        <w:rPr>
          <w:rFonts w:ascii="Arial" w:hAnsi="Arial" w:cs="Arial"/>
          <w:sz w:val="20"/>
        </w:rPr>
        <w:t>Související příjmy</w:t>
      </w:r>
      <w:r w:rsidR="00B537C3" w:rsidRPr="00B31129">
        <w:rPr>
          <w:rFonts w:ascii="Arial" w:hAnsi="Arial" w:cs="Arial"/>
          <w:sz w:val="20"/>
        </w:rPr>
        <w:t xml:space="preserve"> SOHZ</w:t>
      </w:r>
      <w:r w:rsidR="00AB1243">
        <w:rPr>
          <w:rFonts w:ascii="Arial" w:hAnsi="Arial" w:cs="Arial"/>
          <w:sz w:val="20"/>
        </w:rPr>
        <w:t xml:space="preserve"> sociální bydlení </w:t>
      </w:r>
    </w:p>
    <w:p w14:paraId="2BD14917" w14:textId="77777777" w:rsidR="00B537C3" w:rsidRDefault="00B537C3" w:rsidP="00B31129">
      <w:pPr>
        <w:pStyle w:val="Odstavecseseznamem"/>
        <w:rPr>
          <w:rFonts w:ascii="Arial" w:hAnsi="Arial" w:cs="Arial"/>
          <w:sz w:val="20"/>
        </w:rPr>
      </w:pPr>
    </w:p>
    <w:p w14:paraId="1AD6DE21" w14:textId="77777777" w:rsidR="00A56877" w:rsidRDefault="00A56877" w:rsidP="00AD3D2C">
      <w:pPr>
        <w:pStyle w:val="Odstavecseseznamem"/>
        <w:ind w:left="1080"/>
        <w:rPr>
          <w:rFonts w:ascii="Arial" w:hAnsi="Arial" w:cs="Arial"/>
          <w:sz w:val="20"/>
        </w:rPr>
      </w:pPr>
    </w:p>
    <w:p w14:paraId="40146B62" w14:textId="5432ED21" w:rsidR="008C3358" w:rsidRPr="00C73289" w:rsidRDefault="00B537C3" w:rsidP="008C3358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 w:rsidRPr="008C3358">
        <w:rPr>
          <w:rFonts w:ascii="Arial" w:hAnsi="Arial" w:cs="Arial"/>
          <w:sz w:val="20"/>
        </w:rPr>
        <w:t>Výše poskytnuté vyrovnávací platby je stanovena jako</w:t>
      </w:r>
      <w:r w:rsidR="00FC4A1A">
        <w:rPr>
          <w:rFonts w:ascii="Arial" w:hAnsi="Arial" w:cs="Arial"/>
          <w:sz w:val="20"/>
        </w:rPr>
        <w:t xml:space="preserve"> </w:t>
      </w:r>
      <w:r w:rsidR="00A32A89">
        <w:rPr>
          <w:rFonts w:ascii="Arial" w:hAnsi="Arial" w:cs="Arial"/>
          <w:sz w:val="20"/>
        </w:rPr>
        <w:t>čisté náklady SOHZ sociální bydlení</w:t>
      </w:r>
      <w:r w:rsidR="00580014">
        <w:rPr>
          <w:rFonts w:ascii="Arial" w:hAnsi="Arial" w:cs="Arial"/>
          <w:sz w:val="20"/>
        </w:rPr>
        <w:t>, kter</w:t>
      </w:r>
      <w:r w:rsidR="00854F1F">
        <w:rPr>
          <w:rFonts w:ascii="Arial" w:hAnsi="Arial" w:cs="Arial"/>
          <w:sz w:val="20"/>
        </w:rPr>
        <w:t>é</w:t>
      </w:r>
      <w:r w:rsidR="00580014">
        <w:rPr>
          <w:rFonts w:ascii="Arial" w:hAnsi="Arial" w:cs="Arial"/>
          <w:sz w:val="20"/>
        </w:rPr>
        <w:t xml:space="preserve"> j</w:t>
      </w:r>
      <w:r w:rsidR="00854F1F">
        <w:rPr>
          <w:rFonts w:ascii="Arial" w:hAnsi="Arial" w:cs="Arial"/>
          <w:sz w:val="20"/>
        </w:rPr>
        <w:t>sou</w:t>
      </w:r>
      <w:r w:rsidR="00580014">
        <w:rPr>
          <w:rFonts w:ascii="Arial" w:hAnsi="Arial" w:cs="Arial"/>
          <w:sz w:val="20"/>
        </w:rPr>
        <w:t xml:space="preserve"> vyplácen</w:t>
      </w:r>
      <w:r w:rsidR="00854F1F">
        <w:rPr>
          <w:rFonts w:ascii="Arial" w:hAnsi="Arial" w:cs="Arial"/>
          <w:sz w:val="20"/>
        </w:rPr>
        <w:t>y</w:t>
      </w:r>
      <w:r w:rsidR="00580014">
        <w:rPr>
          <w:rFonts w:ascii="Arial" w:hAnsi="Arial" w:cs="Arial"/>
          <w:sz w:val="20"/>
        </w:rPr>
        <w:t xml:space="preserve"> v souladu s podmínkami vymezených v SPŽP</w:t>
      </w:r>
      <w:r w:rsidRPr="008C3358">
        <w:rPr>
          <w:rFonts w:ascii="Arial" w:hAnsi="Arial" w:cs="Arial"/>
          <w:sz w:val="20"/>
        </w:rPr>
        <w:t>.</w:t>
      </w:r>
      <w:r w:rsidR="008C3358">
        <w:rPr>
          <w:rFonts w:ascii="Arial" w:hAnsi="Arial" w:cs="Arial"/>
          <w:sz w:val="20"/>
        </w:rPr>
        <w:t xml:space="preserve"> Celková vyrovnávací platba pak představuje součet všech poskytnutých vyrovnávacích plateb za dobu trvání tohoto </w:t>
      </w:r>
      <w:r w:rsidR="00151287">
        <w:rPr>
          <w:rFonts w:ascii="Arial" w:hAnsi="Arial" w:cs="Arial"/>
          <w:sz w:val="20"/>
        </w:rPr>
        <w:t>P</w:t>
      </w:r>
      <w:r w:rsidR="008C3358">
        <w:rPr>
          <w:rFonts w:ascii="Arial" w:hAnsi="Arial" w:cs="Arial"/>
          <w:sz w:val="20"/>
        </w:rPr>
        <w:t>ověřovacího aktu dle odst. 1 článku VII.</w:t>
      </w:r>
      <w:r w:rsidR="00774B52">
        <w:rPr>
          <w:rFonts w:ascii="Arial" w:hAnsi="Arial" w:cs="Arial"/>
          <w:sz w:val="20"/>
        </w:rPr>
        <w:t xml:space="preserve"> Celková výše vyrovnávací platby nesmí přesáhnout rozsah nezbytný k pokrytí čistých nákladů SOHZ sociální bydlení, včetně přiměřeného zisku.</w:t>
      </w:r>
    </w:p>
    <w:p w14:paraId="06F5184F" w14:textId="484C3639" w:rsidR="00AD6F02" w:rsidRPr="00C748D1" w:rsidRDefault="00AD6F02" w:rsidP="00C748D1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 w:rsidRPr="005474A0">
        <w:rPr>
          <w:rFonts w:ascii="Arial" w:hAnsi="Arial" w:cs="Arial"/>
          <w:sz w:val="20"/>
        </w:rPr>
        <w:t>Vstupní data pro vyhodnocení vyrovnávací platby</w:t>
      </w:r>
      <w:r w:rsidR="005474A0" w:rsidRPr="005474A0">
        <w:rPr>
          <w:rFonts w:ascii="Arial" w:hAnsi="Arial" w:cs="Arial"/>
          <w:sz w:val="20"/>
        </w:rPr>
        <w:t xml:space="preserve"> bude </w:t>
      </w:r>
      <w:r w:rsidR="00854F1F">
        <w:rPr>
          <w:rFonts w:ascii="Arial" w:hAnsi="Arial" w:cs="Arial"/>
          <w:sz w:val="20"/>
        </w:rPr>
        <w:t>poskytovatel předkládat p</w:t>
      </w:r>
      <w:r w:rsidR="005474A0" w:rsidRPr="005474A0">
        <w:rPr>
          <w:rFonts w:ascii="Arial" w:hAnsi="Arial" w:cs="Arial"/>
          <w:sz w:val="20"/>
        </w:rPr>
        <w:t>ověřovateli v souladu s článkem VI bod 5</w:t>
      </w:r>
      <w:r w:rsidR="006C6A59">
        <w:rPr>
          <w:rFonts w:ascii="Arial" w:hAnsi="Arial" w:cs="Arial"/>
          <w:sz w:val="20"/>
        </w:rPr>
        <w:t>, 6 a 7</w:t>
      </w:r>
      <w:r w:rsidR="005474A0" w:rsidRPr="005474A0">
        <w:rPr>
          <w:rFonts w:ascii="Arial" w:hAnsi="Arial" w:cs="Arial"/>
          <w:sz w:val="20"/>
        </w:rPr>
        <w:t>.</w:t>
      </w:r>
    </w:p>
    <w:p w14:paraId="6913480B" w14:textId="77777777" w:rsidR="00277718" w:rsidRPr="00056E05" w:rsidRDefault="00277718" w:rsidP="00BD27C9">
      <w:pPr>
        <w:pStyle w:val="Odstavecseseznamem"/>
        <w:rPr>
          <w:rFonts w:ascii="Arial" w:hAnsi="Arial" w:cs="Arial"/>
          <w:sz w:val="20"/>
        </w:rPr>
      </w:pPr>
    </w:p>
    <w:p w14:paraId="6ABDF1B4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3EE7EA7" w14:textId="77777777" w:rsidR="00F27AC6" w:rsidRPr="00056E05" w:rsidRDefault="00F27AC6" w:rsidP="00CC772F">
      <w:pPr>
        <w:keepNext/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lastRenderedPageBreak/>
        <w:t xml:space="preserve">Článek </w:t>
      </w:r>
      <w:r>
        <w:rPr>
          <w:rFonts w:ascii="Arial" w:hAnsi="Arial" w:cs="Arial"/>
          <w:b/>
          <w:smallCaps/>
          <w:sz w:val="22"/>
        </w:rPr>
        <w:t>IV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3F7D9499" w14:textId="77777777" w:rsidR="00F27AC6" w:rsidRDefault="00E84F65" w:rsidP="00CC772F">
      <w:pPr>
        <w:keepNext/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Vyhodnocování v</w:t>
      </w:r>
      <w:r w:rsidR="00F4769E">
        <w:rPr>
          <w:rFonts w:ascii="Arial" w:hAnsi="Arial" w:cs="Arial"/>
          <w:b/>
          <w:smallCaps/>
          <w:sz w:val="22"/>
        </w:rPr>
        <w:t>yrovnávací platby</w:t>
      </w:r>
    </w:p>
    <w:p w14:paraId="4FBA99CF" w14:textId="77777777" w:rsidR="00D07AED" w:rsidRDefault="00D07AED" w:rsidP="00CC772F">
      <w:pPr>
        <w:keepNext/>
        <w:jc w:val="center"/>
        <w:rPr>
          <w:rFonts w:ascii="Arial" w:hAnsi="Arial" w:cs="Arial"/>
          <w:b/>
          <w:smallCaps/>
          <w:sz w:val="22"/>
        </w:rPr>
      </w:pPr>
    </w:p>
    <w:p w14:paraId="44AB6713" w14:textId="2EC90518" w:rsidR="007D5847" w:rsidRDefault="007D5847" w:rsidP="000D1B74">
      <w:pPr>
        <w:pStyle w:val="Odstavecseseznamem"/>
        <w:numPr>
          <w:ilvl w:val="0"/>
          <w:numId w:val="20"/>
        </w:numPr>
        <w:ind w:left="72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Pravidelné vyhodnocování vyrovnávací platby v </w:t>
      </w:r>
      <w:proofErr w:type="spellStart"/>
      <w:r w:rsidR="005474A0" w:rsidRPr="005474A0">
        <w:rPr>
          <w:rFonts w:ascii="Arial" w:hAnsi="Arial" w:cs="Arial"/>
          <w:sz w:val="20"/>
        </w:rPr>
        <w:t>třicetišestiměsíčních</w:t>
      </w:r>
      <w:proofErr w:type="spellEnd"/>
      <w:r w:rsidR="005474A0" w:rsidRPr="005474A0">
        <w:rPr>
          <w:rFonts w:ascii="Arial" w:hAnsi="Arial" w:cs="Arial"/>
          <w:sz w:val="20"/>
        </w:rPr>
        <w:t xml:space="preserve"> </w:t>
      </w:r>
      <w:r w:rsidRPr="005474A0">
        <w:rPr>
          <w:rFonts w:ascii="Arial" w:hAnsi="Arial" w:cs="Arial"/>
          <w:sz w:val="20"/>
        </w:rPr>
        <w:t>cyklech</w:t>
      </w:r>
      <w:r>
        <w:rPr>
          <w:rFonts w:ascii="Arial" w:hAnsi="Arial" w:cs="Arial"/>
          <w:sz w:val="20"/>
        </w:rPr>
        <w:t xml:space="preserve"> sleduje skutečný vývoj rozhodujících položek pro určení výše vyrovnávací platby s cílem zjistit, zda nedošlo k</w:t>
      </w:r>
      <w:r w:rsidR="00D07AED">
        <w:rPr>
          <w:rFonts w:ascii="Arial" w:hAnsi="Arial" w:cs="Arial"/>
          <w:sz w:val="20"/>
        </w:rPr>
        <w:t> </w:t>
      </w:r>
      <w:proofErr w:type="spellStart"/>
      <w:r>
        <w:rPr>
          <w:rFonts w:ascii="Arial" w:hAnsi="Arial" w:cs="Arial"/>
          <w:sz w:val="20"/>
        </w:rPr>
        <w:t>překompenzaci</w:t>
      </w:r>
      <w:proofErr w:type="spellEnd"/>
      <w:r w:rsidR="00D07AED">
        <w:rPr>
          <w:rFonts w:ascii="Arial" w:hAnsi="Arial" w:cs="Arial"/>
          <w:sz w:val="20"/>
        </w:rPr>
        <w:t xml:space="preserve"> (viz odstavec </w:t>
      </w:r>
      <w:r w:rsidR="006C6A59">
        <w:rPr>
          <w:rFonts w:ascii="Arial" w:hAnsi="Arial" w:cs="Arial"/>
          <w:sz w:val="20"/>
        </w:rPr>
        <w:t>3</w:t>
      </w:r>
      <w:r w:rsidR="008C3358">
        <w:rPr>
          <w:rFonts w:ascii="Arial" w:hAnsi="Arial" w:cs="Arial"/>
          <w:sz w:val="20"/>
        </w:rPr>
        <w:t xml:space="preserve"> </w:t>
      </w:r>
      <w:r w:rsidR="00D07AED">
        <w:rPr>
          <w:rFonts w:ascii="Arial" w:hAnsi="Arial" w:cs="Arial"/>
          <w:sz w:val="20"/>
        </w:rPr>
        <w:t>článku</w:t>
      </w:r>
      <w:r w:rsidR="00412031">
        <w:rPr>
          <w:rFonts w:ascii="Arial" w:hAnsi="Arial" w:cs="Arial"/>
          <w:sz w:val="20"/>
        </w:rPr>
        <w:t xml:space="preserve"> IV.</w:t>
      </w:r>
      <w:r w:rsidR="00D07AED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>.</w:t>
      </w:r>
    </w:p>
    <w:p w14:paraId="54FE8373" w14:textId="2143387E" w:rsidR="00F27AC6" w:rsidRPr="00F27AC6" w:rsidRDefault="00AC364C" w:rsidP="008A786B">
      <w:pPr>
        <w:ind w:left="720"/>
        <w:rPr>
          <w:rFonts w:ascii="Arial" w:hAnsi="Arial" w:cs="Arial"/>
          <w:sz w:val="20"/>
        </w:rPr>
      </w:pPr>
      <w:r w:rsidRPr="00B31129">
        <w:rPr>
          <w:rFonts w:ascii="Arial" w:hAnsi="Arial" w:cs="Arial"/>
          <w:sz w:val="20"/>
        </w:rPr>
        <w:t xml:space="preserve">Za účelem kontroly poskytnuté </w:t>
      </w:r>
      <w:r w:rsidR="004F155C">
        <w:rPr>
          <w:rFonts w:ascii="Arial" w:hAnsi="Arial" w:cs="Arial"/>
          <w:sz w:val="20"/>
        </w:rPr>
        <w:t>vyrovnávací platby</w:t>
      </w:r>
      <w:r w:rsidRPr="00B31129">
        <w:rPr>
          <w:rFonts w:ascii="Arial" w:hAnsi="Arial" w:cs="Arial"/>
          <w:sz w:val="20"/>
        </w:rPr>
        <w:t xml:space="preserve"> </w:t>
      </w:r>
      <w:r w:rsidR="008C3358">
        <w:rPr>
          <w:rFonts w:ascii="Arial" w:hAnsi="Arial" w:cs="Arial"/>
          <w:sz w:val="20"/>
        </w:rPr>
        <w:t>bud</w:t>
      </w:r>
      <w:r w:rsidR="00367C27">
        <w:rPr>
          <w:rFonts w:ascii="Arial" w:hAnsi="Arial" w:cs="Arial"/>
          <w:sz w:val="20"/>
        </w:rPr>
        <w:t>ou porovnávány skutečné příjmy a výdaje</w:t>
      </w:r>
      <w:r w:rsidR="008C3358">
        <w:rPr>
          <w:rFonts w:ascii="Arial" w:hAnsi="Arial" w:cs="Arial"/>
          <w:sz w:val="20"/>
        </w:rPr>
        <w:t xml:space="preserve"> tj. porovnání výše </w:t>
      </w:r>
      <w:r w:rsidR="008C3358" w:rsidRPr="00C86E40">
        <w:rPr>
          <w:rFonts w:ascii="Arial" w:hAnsi="Arial" w:cs="Arial"/>
          <w:sz w:val="20"/>
        </w:rPr>
        <w:t>skutečně</w:t>
      </w:r>
      <w:r w:rsidR="00C86E40" w:rsidRPr="00C86E40">
        <w:rPr>
          <w:rFonts w:ascii="Arial" w:hAnsi="Arial" w:cs="Arial"/>
          <w:sz w:val="20"/>
        </w:rPr>
        <w:t xml:space="preserve"> vynaložených nákladů na úhradu SOHZ sociálního bydlení se souvisejícími příjmy SOHZ sociální bydlení</w:t>
      </w:r>
      <w:r w:rsidR="008C3358">
        <w:rPr>
          <w:rFonts w:ascii="Arial" w:hAnsi="Arial" w:cs="Arial"/>
          <w:sz w:val="20"/>
        </w:rPr>
        <w:t xml:space="preserve"> za dané období.</w:t>
      </w:r>
      <w:r w:rsidR="008C3358" w:rsidRPr="00B31129">
        <w:rPr>
          <w:rFonts w:ascii="Arial" w:hAnsi="Arial" w:cs="Arial"/>
          <w:sz w:val="20"/>
        </w:rPr>
        <w:t xml:space="preserve"> </w:t>
      </w:r>
      <w:r w:rsidR="00F27AC6" w:rsidRPr="00F27AC6">
        <w:rPr>
          <w:rFonts w:ascii="Arial" w:hAnsi="Arial" w:cs="Arial"/>
          <w:sz w:val="20"/>
        </w:rPr>
        <w:t xml:space="preserve"> </w:t>
      </w:r>
    </w:p>
    <w:p w14:paraId="4305B981" w14:textId="3CC87112" w:rsidR="00F27AC6" w:rsidRPr="00F27AC6" w:rsidRDefault="00F27AC6" w:rsidP="000D1B74">
      <w:pPr>
        <w:pStyle w:val="Odstavecseseznamem"/>
        <w:numPr>
          <w:ilvl w:val="0"/>
          <w:numId w:val="20"/>
        </w:numPr>
        <w:ind w:left="720" w:hanging="426"/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>Rozhodný</w:t>
      </w:r>
      <w:r w:rsidR="000B2BCB">
        <w:rPr>
          <w:rFonts w:ascii="Arial" w:hAnsi="Arial" w:cs="Arial"/>
          <w:sz w:val="20"/>
        </w:rPr>
        <w:t>m</w:t>
      </w:r>
      <w:r w:rsidRPr="00F27AC6">
        <w:rPr>
          <w:rFonts w:ascii="Arial" w:hAnsi="Arial" w:cs="Arial"/>
          <w:sz w:val="20"/>
        </w:rPr>
        <w:t xml:space="preserve"> okamžik</w:t>
      </w:r>
      <w:r w:rsidR="000B2BCB">
        <w:rPr>
          <w:rFonts w:ascii="Arial" w:hAnsi="Arial" w:cs="Arial"/>
          <w:sz w:val="20"/>
        </w:rPr>
        <w:t>em</w:t>
      </w:r>
      <w:r w:rsidRPr="00F27AC6">
        <w:rPr>
          <w:rFonts w:ascii="Arial" w:hAnsi="Arial" w:cs="Arial"/>
          <w:sz w:val="20"/>
        </w:rPr>
        <w:t xml:space="preserve"> pro</w:t>
      </w:r>
      <w:r w:rsidR="00D46021">
        <w:rPr>
          <w:rFonts w:ascii="Arial" w:hAnsi="Arial" w:cs="Arial"/>
          <w:sz w:val="20"/>
        </w:rPr>
        <w:t xml:space="preserve"> zahájení</w:t>
      </w:r>
      <w:r w:rsidRPr="00F27AC6">
        <w:rPr>
          <w:rFonts w:ascii="Arial" w:hAnsi="Arial" w:cs="Arial"/>
          <w:sz w:val="20"/>
        </w:rPr>
        <w:t xml:space="preserve"> vyhodnocování v</w:t>
      </w:r>
      <w:r w:rsidR="003C6E1C">
        <w:rPr>
          <w:rFonts w:ascii="Arial" w:hAnsi="Arial" w:cs="Arial"/>
          <w:sz w:val="20"/>
        </w:rPr>
        <w:t>yrovnávací platby</w:t>
      </w:r>
      <w:r w:rsidRPr="00F27AC6">
        <w:rPr>
          <w:rFonts w:ascii="Arial" w:hAnsi="Arial" w:cs="Arial"/>
          <w:sz w:val="20"/>
        </w:rPr>
        <w:t xml:space="preserve"> pro byt</w:t>
      </w:r>
      <w:r w:rsidR="00AC387F">
        <w:rPr>
          <w:rFonts w:ascii="Arial" w:hAnsi="Arial" w:cs="Arial"/>
          <w:sz w:val="20"/>
        </w:rPr>
        <w:t xml:space="preserve"> (byty)</w:t>
      </w:r>
      <w:r w:rsidRPr="00F27AC6">
        <w:rPr>
          <w:rFonts w:ascii="Arial" w:hAnsi="Arial" w:cs="Arial"/>
          <w:sz w:val="20"/>
        </w:rPr>
        <w:t xml:space="preserve"> je okamžik, kdy </w:t>
      </w:r>
      <w:r w:rsidR="007D5847">
        <w:rPr>
          <w:rFonts w:ascii="Arial" w:hAnsi="Arial" w:cs="Arial"/>
          <w:sz w:val="20"/>
        </w:rPr>
        <w:t xml:space="preserve">je možné </w:t>
      </w:r>
      <w:r w:rsidR="009A1466">
        <w:rPr>
          <w:rFonts w:ascii="Arial" w:hAnsi="Arial" w:cs="Arial"/>
          <w:sz w:val="20"/>
        </w:rPr>
        <w:t xml:space="preserve">jej </w:t>
      </w:r>
      <w:r w:rsidR="007D5847">
        <w:rPr>
          <w:rFonts w:ascii="Arial" w:hAnsi="Arial" w:cs="Arial"/>
          <w:sz w:val="20"/>
        </w:rPr>
        <w:t xml:space="preserve">pronajmout pro účely </w:t>
      </w:r>
      <w:r w:rsidRPr="00F27AC6">
        <w:rPr>
          <w:rFonts w:ascii="Arial" w:hAnsi="Arial" w:cs="Arial"/>
          <w:sz w:val="20"/>
        </w:rPr>
        <w:t>SOHZ sociálního bydlení</w:t>
      </w:r>
      <w:r w:rsidR="00C86E40">
        <w:rPr>
          <w:rFonts w:ascii="Arial" w:hAnsi="Arial" w:cs="Arial"/>
          <w:sz w:val="20"/>
        </w:rPr>
        <w:t>,</w:t>
      </w:r>
      <w:r w:rsidR="00096F7D" w:rsidRPr="00B70BC1">
        <w:rPr>
          <w:rFonts w:ascii="Arial" w:hAnsi="Arial" w:cs="Arial"/>
          <w:sz w:val="20"/>
        </w:rPr>
        <w:t xml:space="preserve"> </w:t>
      </w:r>
      <w:r w:rsidR="00B70BC1" w:rsidRPr="00B70BC1">
        <w:rPr>
          <w:rFonts w:ascii="Arial" w:hAnsi="Arial" w:cs="Arial"/>
          <w:sz w:val="20"/>
        </w:rPr>
        <w:t xml:space="preserve">tzn. doložením </w:t>
      </w:r>
      <w:r w:rsidR="00096F7D" w:rsidRPr="00096F7D">
        <w:rPr>
          <w:rFonts w:ascii="Arial" w:hAnsi="Arial" w:cs="Arial"/>
          <w:sz w:val="20"/>
        </w:rPr>
        <w:t>protokol</w:t>
      </w:r>
      <w:r w:rsidR="00B70BC1">
        <w:rPr>
          <w:rFonts w:ascii="Arial" w:hAnsi="Arial" w:cs="Arial"/>
          <w:sz w:val="20"/>
        </w:rPr>
        <w:t>u</w:t>
      </w:r>
      <w:r w:rsidR="00096F7D" w:rsidRPr="00096F7D">
        <w:rPr>
          <w:rFonts w:ascii="Arial" w:hAnsi="Arial" w:cs="Arial"/>
          <w:sz w:val="20"/>
        </w:rPr>
        <w:t xml:space="preserve"> o předání a převzetí díla a kolaudačním souhlasem, podléhají-li mu výstupy projektu, či jiným obdobným řízením</w:t>
      </w:r>
      <w:r w:rsidRPr="00F27AC6">
        <w:rPr>
          <w:rFonts w:ascii="Arial" w:hAnsi="Arial" w:cs="Arial"/>
          <w:sz w:val="20"/>
        </w:rPr>
        <w:t xml:space="preserve">. </w:t>
      </w:r>
    </w:p>
    <w:p w14:paraId="1CEAE020" w14:textId="70D54222" w:rsidR="002303FE" w:rsidRPr="00BF133B" w:rsidRDefault="00B356AB" w:rsidP="000D1B74">
      <w:pPr>
        <w:pStyle w:val="Odstavecseseznamem"/>
        <w:numPr>
          <w:ilvl w:val="0"/>
          <w:numId w:val="20"/>
        </w:numPr>
        <w:ind w:left="720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Výše vyrovnávací platby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se prověřuje vždy po uplynutí </w:t>
      </w:r>
      <w:proofErr w:type="spellStart"/>
      <w:r w:rsidR="00270EEB">
        <w:rPr>
          <w:rFonts w:ascii="Arial" w:eastAsiaTheme="minorHAnsi" w:hAnsi="Arial" w:cs="Arial"/>
          <w:sz w:val="20"/>
          <w:lang w:eastAsia="en-US"/>
        </w:rPr>
        <w:t>třicetišestiměsíčního</w:t>
      </w:r>
      <w:proofErr w:type="spellEnd"/>
      <w:r w:rsidR="00270EEB" w:rsidRPr="00BF133B">
        <w:rPr>
          <w:rFonts w:ascii="Arial" w:eastAsiaTheme="minorHAnsi" w:hAnsi="Arial" w:cs="Arial"/>
          <w:sz w:val="20"/>
          <w:lang w:eastAsia="en-US"/>
        </w:rPr>
        <w:t xml:space="preserve">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cyklu od </w:t>
      </w:r>
      <w:r w:rsidR="00593BC4">
        <w:rPr>
          <w:rFonts w:ascii="Arial" w:eastAsiaTheme="minorHAnsi" w:hAnsi="Arial" w:cs="Arial"/>
          <w:sz w:val="20"/>
          <w:lang w:eastAsia="en-US"/>
        </w:rPr>
        <w:t xml:space="preserve">rozhodného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okamžiku</w:t>
      </w:r>
      <w:r w:rsidR="00270EEB">
        <w:rPr>
          <w:rFonts w:ascii="Arial" w:eastAsiaTheme="minorHAnsi" w:hAnsi="Arial" w:cs="Arial"/>
          <w:sz w:val="20"/>
          <w:lang w:eastAsia="en-US"/>
        </w:rPr>
        <w:t xml:space="preserve"> během trvání doby pověření a na konci této doby</w:t>
      </w:r>
      <w:r w:rsidR="001F0D2E">
        <w:rPr>
          <w:rFonts w:ascii="Arial" w:eastAsiaTheme="minorHAnsi" w:hAnsi="Arial" w:cs="Arial"/>
          <w:sz w:val="20"/>
          <w:lang w:eastAsia="en-US"/>
        </w:rPr>
        <w:t>,</w:t>
      </w:r>
      <w:r w:rsidR="004D7023">
        <w:rPr>
          <w:rFonts w:ascii="Arial" w:eastAsiaTheme="minorHAnsi" w:hAnsi="Arial" w:cs="Arial"/>
          <w:sz w:val="20"/>
          <w:lang w:eastAsia="en-US"/>
        </w:rPr>
        <w:t xml:space="preserve"> a to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na základě skutečných dat</w:t>
      </w:r>
      <w:r w:rsidR="00710200">
        <w:rPr>
          <w:rFonts w:ascii="Arial" w:eastAsiaTheme="minorHAnsi" w:hAnsi="Arial" w:cs="Arial"/>
          <w:sz w:val="20"/>
          <w:lang w:eastAsia="en-US"/>
        </w:rPr>
        <w:t xml:space="preserve"> obdržených od Poskytovatele</w:t>
      </w:r>
      <w:r w:rsidR="006E4EE5">
        <w:rPr>
          <w:rFonts w:ascii="Arial" w:eastAsiaTheme="minorHAnsi" w:hAnsi="Arial" w:cs="Arial"/>
          <w:sz w:val="20"/>
          <w:lang w:eastAsia="en-US"/>
        </w:rPr>
        <w:t>.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 </w:t>
      </w:r>
      <w:r w:rsidR="006C6A59">
        <w:rPr>
          <w:rFonts w:ascii="Arial" w:eastAsiaTheme="minorHAnsi" w:hAnsi="Arial" w:cs="Arial"/>
          <w:sz w:val="20"/>
          <w:lang w:eastAsia="en-US"/>
        </w:rPr>
        <w:t>Způsobilost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 příjmů a výdajů pro přepočet vyrovnávací platby je </w:t>
      </w:r>
      <w:r w:rsidR="00AE79B7">
        <w:rPr>
          <w:rFonts w:ascii="Arial" w:eastAsiaTheme="minorHAnsi" w:hAnsi="Arial" w:cs="Arial"/>
          <w:sz w:val="20"/>
          <w:lang w:eastAsia="en-US"/>
        </w:rPr>
        <w:t>1. 1. 2014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. </w:t>
      </w:r>
    </w:p>
    <w:p w14:paraId="79A4ED8F" w14:textId="7DCB7E24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 xml:space="preserve">Pokud přepočet zjistí, že poskytovatel obdržel vyrovnávací platbu převyšující rozsah nezbytný k pokrytí </w:t>
      </w:r>
      <w:r w:rsidR="0083271E" w:rsidRPr="00DF2ECF">
        <w:rPr>
          <w:rFonts w:ascii="Arial" w:hAnsi="Arial" w:cs="Arial"/>
          <w:sz w:val="20"/>
        </w:rPr>
        <w:t>čistých</w:t>
      </w:r>
      <w:r w:rsidR="0083271E">
        <w:rPr>
          <w:rFonts w:ascii="Arial" w:hAnsi="Arial" w:cs="Arial"/>
          <w:sz w:val="20"/>
        </w:rPr>
        <w:t xml:space="preserve"> nákladů SOHZ sociálního bydlení</w:t>
      </w:r>
      <w:r w:rsidRPr="001D4E6B">
        <w:rPr>
          <w:rFonts w:ascii="Arial" w:hAnsi="Arial" w:cs="Arial"/>
          <w:sz w:val="20"/>
        </w:rPr>
        <w:t>, došlo k </w:t>
      </w:r>
      <w:proofErr w:type="spellStart"/>
      <w:r w:rsidRPr="001D4E6B">
        <w:rPr>
          <w:rFonts w:ascii="Arial" w:hAnsi="Arial" w:cs="Arial"/>
          <w:sz w:val="20"/>
        </w:rPr>
        <w:t>překompenzaci</w:t>
      </w:r>
      <w:proofErr w:type="spellEnd"/>
      <w:r w:rsidRPr="001D4E6B">
        <w:rPr>
          <w:rFonts w:ascii="Arial" w:hAnsi="Arial" w:cs="Arial"/>
          <w:sz w:val="20"/>
        </w:rPr>
        <w:t xml:space="preserve"> (nadměrné vyrovnávací platbě).</w:t>
      </w:r>
    </w:p>
    <w:p w14:paraId="473A8128" w14:textId="02B32F2E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nepřesahuje 10 % průměrné vyrovnávací platby</w:t>
      </w:r>
      <w:r w:rsidR="0083271E">
        <w:rPr>
          <w:rFonts w:ascii="Arial" w:hAnsi="Arial" w:cs="Arial"/>
          <w:sz w:val="20"/>
        </w:rPr>
        <w:t xml:space="preserve"> poměrné 36 měsícům ku celé době pověření</w:t>
      </w:r>
      <w:r w:rsidRPr="001D4E6B">
        <w:rPr>
          <w:rFonts w:ascii="Arial" w:hAnsi="Arial" w:cs="Arial"/>
          <w:sz w:val="20"/>
        </w:rPr>
        <w:t>, bude přesah převeden do dalšího období.</w:t>
      </w:r>
    </w:p>
    <w:p w14:paraId="2A79BF43" w14:textId="2F25B42E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přesáhne 10 % průměrné vyrovnávací platby</w:t>
      </w:r>
      <w:r w:rsidR="0083271E">
        <w:rPr>
          <w:rFonts w:ascii="Arial" w:hAnsi="Arial" w:cs="Arial"/>
          <w:sz w:val="20"/>
        </w:rPr>
        <w:t xml:space="preserve"> poměrné 36 měsíců ku celé době pověření</w:t>
      </w:r>
      <w:r w:rsidRPr="001D4E6B">
        <w:rPr>
          <w:rFonts w:ascii="Arial" w:hAnsi="Arial" w:cs="Arial"/>
          <w:sz w:val="20"/>
        </w:rPr>
        <w:t>, poskytovatel vrací neprodleně pověřovateli celou nadměrně vyplacenou částku.</w:t>
      </w:r>
    </w:p>
    <w:p w14:paraId="1BAB3E1D" w14:textId="547E1297" w:rsidR="00F27AC6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 xml:space="preserve">Pokud přepočet zjistí, že vyrovnávací platba nepokryje </w:t>
      </w:r>
      <w:r w:rsidRPr="00DF2ECF">
        <w:rPr>
          <w:rFonts w:ascii="Arial" w:hAnsi="Arial" w:cs="Arial"/>
          <w:sz w:val="20"/>
        </w:rPr>
        <w:t xml:space="preserve">čisté </w:t>
      </w:r>
      <w:r w:rsidR="00DF2ECF" w:rsidRPr="00DF2ECF">
        <w:rPr>
          <w:rFonts w:ascii="Arial" w:hAnsi="Arial" w:cs="Arial"/>
          <w:sz w:val="20"/>
        </w:rPr>
        <w:t>náklady</w:t>
      </w:r>
      <w:r w:rsidR="00DF2ECF">
        <w:rPr>
          <w:rFonts w:ascii="Arial" w:hAnsi="Arial" w:cs="Arial"/>
          <w:sz w:val="20"/>
        </w:rPr>
        <w:t xml:space="preserve"> SOHZ sociálního bydlení</w:t>
      </w:r>
      <w:r w:rsidRPr="001D4E6B">
        <w:rPr>
          <w:rFonts w:ascii="Arial" w:hAnsi="Arial" w:cs="Arial"/>
          <w:sz w:val="20"/>
        </w:rPr>
        <w:t>, nemá poskytovatel nárok na dodatečnou kompenzaci.</w:t>
      </w:r>
      <w:r w:rsidR="0006766C">
        <w:rPr>
          <w:rFonts w:ascii="Arial" w:hAnsi="Arial" w:cs="Arial"/>
          <w:sz w:val="20"/>
        </w:rPr>
        <w:t xml:space="preserve"> Ztráta se připočítá k dalšímu období. </w:t>
      </w:r>
    </w:p>
    <w:p w14:paraId="137AB109" w14:textId="0A1DD037" w:rsidR="00F27AC6" w:rsidRDefault="00F27AC6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34C989A0" w14:textId="77777777" w:rsidR="00CC772F" w:rsidRDefault="00CC772F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4E6593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4F15FE">
        <w:rPr>
          <w:rFonts w:ascii="Arial" w:hAnsi="Arial" w:cs="Arial"/>
          <w:b/>
          <w:smallCaps/>
          <w:sz w:val="22"/>
        </w:rPr>
        <w:t>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3F9A6F6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Povinnosti p</w:t>
      </w:r>
      <w:r w:rsidR="00C91494">
        <w:rPr>
          <w:rFonts w:ascii="Arial" w:hAnsi="Arial" w:cs="Arial"/>
          <w:b/>
          <w:smallCaps/>
          <w:sz w:val="22"/>
        </w:rPr>
        <w:t xml:space="preserve">oskytovatele </w:t>
      </w:r>
    </w:p>
    <w:p w14:paraId="4B87219B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A210310" w14:textId="77777777" w:rsidR="009A6143" w:rsidRDefault="009A6143" w:rsidP="000D1B74">
      <w:pPr>
        <w:ind w:left="360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 w:rsidR="00C91494">
        <w:rPr>
          <w:rFonts w:ascii="Arial" w:hAnsi="Arial" w:cs="Arial"/>
          <w:sz w:val="20"/>
        </w:rPr>
        <w:t xml:space="preserve">oskytovatel </w:t>
      </w:r>
      <w:r w:rsidRPr="00056E05">
        <w:rPr>
          <w:rFonts w:ascii="Arial" w:hAnsi="Arial" w:cs="Arial"/>
          <w:sz w:val="20"/>
        </w:rPr>
        <w:t>se zavazuje:</w:t>
      </w:r>
    </w:p>
    <w:p w14:paraId="7F7F48C9" w14:textId="77777777" w:rsidR="004F5576" w:rsidRPr="00056E05" w:rsidRDefault="004F5576" w:rsidP="009A6143">
      <w:pPr>
        <w:rPr>
          <w:rFonts w:ascii="Arial" w:hAnsi="Arial" w:cs="Arial"/>
          <w:sz w:val="20"/>
        </w:rPr>
      </w:pPr>
    </w:p>
    <w:p w14:paraId="51184E44" w14:textId="5C90757A" w:rsidR="009A6143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Pr="00056E05">
        <w:rPr>
          <w:rFonts w:ascii="Arial" w:hAnsi="Arial" w:cs="Arial"/>
          <w:sz w:val="20"/>
        </w:rPr>
        <w:t xml:space="preserve">ést </w:t>
      </w:r>
      <w:r w:rsidR="009A6143" w:rsidRPr="00056E05">
        <w:rPr>
          <w:rFonts w:ascii="Arial" w:hAnsi="Arial" w:cs="Arial"/>
          <w:sz w:val="20"/>
        </w:rPr>
        <w:t>řádnou a oddělenou evidenci čerpání vyrovnávací platby v souladu se zákonem č.</w:t>
      </w:r>
      <w:r w:rsidR="004046B9">
        <w:rPr>
          <w:rFonts w:ascii="Arial" w:hAnsi="Arial" w:cs="Arial"/>
          <w:sz w:val="20"/>
        </w:rPr>
        <w:t> </w:t>
      </w:r>
      <w:r w:rsidR="009A6143" w:rsidRPr="00056E05">
        <w:rPr>
          <w:rFonts w:ascii="Arial" w:hAnsi="Arial" w:cs="Arial"/>
          <w:sz w:val="20"/>
        </w:rPr>
        <w:t>563/1991 Sb., o účetnictví, ve znění pozdějších předpisů</w:t>
      </w:r>
      <w:r w:rsidR="00904C35">
        <w:rPr>
          <w:rFonts w:ascii="Arial" w:hAnsi="Arial" w:cs="Arial"/>
          <w:sz w:val="20"/>
        </w:rPr>
        <w:t>.</w:t>
      </w:r>
    </w:p>
    <w:p w14:paraId="2CF7A40F" w14:textId="42820DF8" w:rsidR="00BA0375" w:rsidRPr="00056E05" w:rsidRDefault="00BA0375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Vést ve vnitropodnikovém účetnictví příjmy a výdaje spojené s poskytováním SOHZ sociálního bydlení odděleně od příjmů a výdajů spojených s jinými službami. </w:t>
      </w:r>
    </w:p>
    <w:p w14:paraId="2C7F5B4C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2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</w:t>
      </w:r>
      <w:r w:rsidRPr="00056E05">
        <w:rPr>
          <w:rFonts w:ascii="Arial" w:hAnsi="Arial" w:cs="Arial"/>
          <w:sz w:val="20"/>
        </w:rPr>
        <w:t xml:space="preserve">značit </w:t>
      </w:r>
      <w:r w:rsidR="009A6143" w:rsidRPr="00056E05">
        <w:rPr>
          <w:rFonts w:ascii="Arial" w:hAnsi="Arial" w:cs="Arial"/>
          <w:sz w:val="20"/>
        </w:rPr>
        <w:t>originály účetních dokladů viditelným a nesmazatelným způsobem čísl</w:t>
      </w:r>
      <w:r w:rsidR="009F08CD">
        <w:rPr>
          <w:rFonts w:ascii="Arial" w:hAnsi="Arial" w:cs="Arial"/>
          <w:sz w:val="20"/>
        </w:rPr>
        <w:t>em</w:t>
      </w:r>
      <w:r w:rsidR="009A6143" w:rsidRPr="00056E05">
        <w:rPr>
          <w:rFonts w:ascii="Arial" w:hAnsi="Arial" w:cs="Arial"/>
          <w:sz w:val="20"/>
        </w:rPr>
        <w:t xml:space="preserve"> projektu</w:t>
      </w:r>
      <w:r w:rsidR="009F08CD">
        <w:rPr>
          <w:rFonts w:ascii="Arial" w:hAnsi="Arial" w:cs="Arial"/>
          <w:sz w:val="20"/>
        </w:rPr>
        <w:t>.</w:t>
      </w:r>
    </w:p>
    <w:p w14:paraId="2CDE4F39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Neprodleně </w:t>
      </w:r>
      <w:r w:rsidR="009A6143" w:rsidRPr="00056E05">
        <w:rPr>
          <w:rFonts w:ascii="Arial" w:hAnsi="Arial" w:cs="Arial"/>
          <w:sz w:val="20"/>
        </w:rPr>
        <w:t>oznámit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změnu všech identifikačních údajů, uvedených v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ověřovacím aktu</w:t>
      </w:r>
      <w:r w:rsidR="000B2BCB">
        <w:rPr>
          <w:rFonts w:ascii="Arial" w:hAnsi="Arial" w:cs="Arial"/>
          <w:sz w:val="20"/>
        </w:rPr>
        <w:t>.</w:t>
      </w:r>
    </w:p>
    <w:p w14:paraId="679204A9" w14:textId="039C1F73" w:rsidR="00B82EBD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ředložit</w:t>
      </w:r>
      <w:r w:rsidR="009A6143" w:rsidRPr="00056E05">
        <w:rPr>
          <w:rFonts w:ascii="Arial" w:hAnsi="Arial" w:cs="Arial"/>
          <w:sz w:val="20"/>
        </w:rPr>
        <w:t xml:space="preserve">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</w:t>
      </w:r>
      <w:r w:rsidR="00F57701">
        <w:rPr>
          <w:rFonts w:ascii="Arial" w:hAnsi="Arial" w:cs="Arial"/>
          <w:sz w:val="20"/>
        </w:rPr>
        <w:t>podklady pro kontrolu</w:t>
      </w:r>
      <w:r w:rsidR="00AF7719">
        <w:rPr>
          <w:rFonts w:ascii="Arial" w:hAnsi="Arial" w:cs="Arial"/>
          <w:sz w:val="20"/>
        </w:rPr>
        <w:t xml:space="preserve"> výše </w:t>
      </w:r>
      <w:r w:rsidR="001B486B">
        <w:rPr>
          <w:rFonts w:ascii="Arial" w:hAnsi="Arial" w:cs="Arial"/>
          <w:sz w:val="20"/>
        </w:rPr>
        <w:t xml:space="preserve">vyrovnávací platby </w:t>
      </w:r>
      <w:r w:rsidR="00AF7719">
        <w:rPr>
          <w:rFonts w:ascii="Arial" w:hAnsi="Arial" w:cs="Arial"/>
          <w:sz w:val="20"/>
        </w:rPr>
        <w:t xml:space="preserve">ve </w:t>
      </w:r>
      <w:r w:rsidR="00270EEB" w:rsidRPr="00270EEB">
        <w:rPr>
          <w:rFonts w:ascii="Arial" w:hAnsi="Arial" w:cs="Arial"/>
          <w:sz w:val="20"/>
        </w:rPr>
        <w:t>36</w:t>
      </w:r>
      <w:r w:rsidR="00AF7719" w:rsidRPr="00270EEB">
        <w:rPr>
          <w:rFonts w:ascii="Arial" w:hAnsi="Arial" w:cs="Arial"/>
          <w:sz w:val="20"/>
        </w:rPr>
        <w:t xml:space="preserve"> měsíčním cyklu</w:t>
      </w:r>
      <w:r w:rsidR="000B2BCB" w:rsidRPr="00270EEB">
        <w:rPr>
          <w:rFonts w:ascii="Arial" w:hAnsi="Arial" w:cs="Arial"/>
          <w:sz w:val="20"/>
        </w:rPr>
        <w:t>.</w:t>
      </w:r>
    </w:p>
    <w:p w14:paraId="67C9C81F" w14:textId="77777777" w:rsidR="00E8429E" w:rsidRDefault="00543788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Podklady pro kontrolu je p</w:t>
      </w:r>
      <w:r w:rsidR="00E8429E">
        <w:rPr>
          <w:rFonts w:ascii="Arial" w:hAnsi="Arial" w:cs="Arial"/>
          <w:sz w:val="20"/>
        </w:rPr>
        <w:t>oskytovatel povinen</w:t>
      </w:r>
      <w:r>
        <w:rPr>
          <w:rFonts w:ascii="Arial" w:hAnsi="Arial" w:cs="Arial"/>
          <w:sz w:val="20"/>
        </w:rPr>
        <w:t xml:space="preserve"> zaslat pověřovateli</w:t>
      </w:r>
      <w:r w:rsidR="00E8429E">
        <w:rPr>
          <w:rFonts w:ascii="Arial" w:hAnsi="Arial" w:cs="Arial"/>
          <w:sz w:val="20"/>
        </w:rPr>
        <w:t xml:space="preserve"> </w:t>
      </w:r>
      <w:r w:rsidR="00E8429E" w:rsidRPr="00F27AC6">
        <w:rPr>
          <w:rFonts w:ascii="Arial" w:hAnsi="Arial" w:cs="Arial"/>
          <w:sz w:val="20"/>
        </w:rPr>
        <w:t>nejpozději do šesti měsíců od uplynutí uzavřeného cyklu</w:t>
      </w:r>
      <w:r w:rsidR="001B486B">
        <w:rPr>
          <w:rFonts w:ascii="Arial" w:hAnsi="Arial" w:cs="Arial"/>
          <w:sz w:val="20"/>
        </w:rPr>
        <w:t>.</w:t>
      </w:r>
    </w:p>
    <w:p w14:paraId="430F2959" w14:textId="77777777" w:rsidR="00CB2304" w:rsidRPr="00CB2304" w:rsidRDefault="00CB2304" w:rsidP="009317B1">
      <w:pPr>
        <w:pStyle w:val="Odstavecseseznamem"/>
        <w:numPr>
          <w:ilvl w:val="0"/>
          <w:numId w:val="21"/>
        </w:numPr>
        <w:ind w:left="1068"/>
      </w:pPr>
      <w:r w:rsidRPr="00BF133B">
        <w:rPr>
          <w:rFonts w:ascii="Arial" w:hAnsi="Arial" w:cs="Arial"/>
          <w:sz w:val="20"/>
        </w:rPr>
        <w:t>Na základě výzvy pověřovatele je poskytovatel povinen předložit k nahlédnutí originály účetních dokladů souvisejících s čerpáním vyrovnávací platby</w:t>
      </w:r>
      <w:r w:rsidR="00BD51B9">
        <w:rPr>
          <w:rFonts w:ascii="Arial" w:hAnsi="Arial" w:cs="Arial"/>
          <w:sz w:val="20"/>
        </w:rPr>
        <w:t>.</w:t>
      </w:r>
    </w:p>
    <w:p w14:paraId="37B21E3D" w14:textId="77777777" w:rsidR="00AB16C0" w:rsidRPr="00AB16C0" w:rsidRDefault="004F5576" w:rsidP="002639B3">
      <w:pPr>
        <w:pStyle w:val="Odstavecseseznamem"/>
        <w:numPr>
          <w:ilvl w:val="0"/>
          <w:numId w:val="21"/>
        </w:numPr>
        <w:ind w:left="1068"/>
      </w:pPr>
      <w:r>
        <w:rPr>
          <w:rFonts w:ascii="Arial" w:hAnsi="Arial" w:cs="Arial"/>
          <w:sz w:val="20"/>
        </w:rPr>
        <w:t xml:space="preserve">Poskytovatel </w:t>
      </w:r>
      <w:r w:rsidR="009A6143" w:rsidRPr="0081101F">
        <w:rPr>
          <w:rFonts w:ascii="Arial" w:hAnsi="Arial" w:cs="Arial"/>
          <w:sz w:val="20"/>
        </w:rPr>
        <w:t>se zavazuje v případě převodu majetku, na nějž dotaci získal, na jinou osobu, a rovněž v případě, kdy pořízená investice není či nadále nemůže být využívána pro účely SOHZ</w:t>
      </w:r>
      <w:r w:rsidR="00394B19">
        <w:rPr>
          <w:rFonts w:ascii="Arial" w:hAnsi="Arial" w:cs="Arial"/>
          <w:sz w:val="20"/>
        </w:rPr>
        <w:t xml:space="preserve"> sociálního bydlení</w:t>
      </w:r>
      <w:r w:rsidR="009A6143" w:rsidRPr="0081101F">
        <w:rPr>
          <w:rFonts w:ascii="Arial" w:hAnsi="Arial" w:cs="Arial"/>
          <w:sz w:val="20"/>
        </w:rPr>
        <w:t>, vrátit poměrnou část vyrovnávací platby ve výši ne</w:t>
      </w:r>
      <w:r w:rsidR="00C91494">
        <w:rPr>
          <w:rFonts w:ascii="Arial" w:hAnsi="Arial" w:cs="Arial"/>
          <w:sz w:val="20"/>
        </w:rPr>
        <w:t xml:space="preserve">umořené </w:t>
      </w:r>
      <w:r w:rsidR="009A6143" w:rsidRPr="0081101F">
        <w:rPr>
          <w:rFonts w:ascii="Arial" w:hAnsi="Arial" w:cs="Arial"/>
          <w:sz w:val="20"/>
        </w:rPr>
        <w:t>hodnoty</w:t>
      </w:r>
      <w:r w:rsidR="00543788">
        <w:rPr>
          <w:rFonts w:ascii="Arial" w:hAnsi="Arial" w:cs="Arial"/>
          <w:sz w:val="20"/>
        </w:rPr>
        <w:t xml:space="preserve"> poskytnuté dotace</w:t>
      </w:r>
      <w:r w:rsidR="009A6143" w:rsidRPr="0081101F">
        <w:rPr>
          <w:rFonts w:ascii="Arial" w:hAnsi="Arial" w:cs="Arial"/>
          <w:sz w:val="20"/>
        </w:rPr>
        <w:t xml:space="preserve">. </w:t>
      </w:r>
    </w:p>
    <w:p w14:paraId="473EDB02" w14:textId="77777777" w:rsidR="009A6143" w:rsidRDefault="000B2BCB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Vyzve-li pověřovatel </w:t>
      </w:r>
      <w:r w:rsidR="00C91494">
        <w:rPr>
          <w:rFonts w:ascii="Arial" w:hAnsi="Arial" w:cs="Arial"/>
          <w:sz w:val="20"/>
        </w:rPr>
        <w:t>poskytovate</w:t>
      </w:r>
      <w:r w:rsidR="00AF7719">
        <w:rPr>
          <w:rFonts w:ascii="Arial" w:hAnsi="Arial" w:cs="Arial"/>
          <w:sz w:val="20"/>
        </w:rPr>
        <w:t>l</w:t>
      </w:r>
      <w:r>
        <w:rPr>
          <w:rFonts w:ascii="Arial" w:hAnsi="Arial" w:cs="Arial"/>
          <w:sz w:val="20"/>
        </w:rPr>
        <w:t>e</w:t>
      </w:r>
      <w:r w:rsidR="00AF7719">
        <w:rPr>
          <w:rFonts w:ascii="Arial" w:hAnsi="Arial" w:cs="Arial"/>
          <w:sz w:val="20"/>
        </w:rPr>
        <w:t xml:space="preserve"> k</w:t>
      </w:r>
      <w:r w:rsidR="00C91494" w:rsidRPr="00056E05">
        <w:rPr>
          <w:rFonts w:ascii="Arial" w:hAnsi="Arial" w:cs="Arial"/>
          <w:sz w:val="20"/>
        </w:rPr>
        <w:t xml:space="preserve"> navrácení zjištěné </w:t>
      </w:r>
      <w:r w:rsidR="00543788">
        <w:rPr>
          <w:rFonts w:ascii="Arial" w:hAnsi="Arial" w:cs="Arial"/>
          <w:sz w:val="20"/>
        </w:rPr>
        <w:t>nadměrně vyplacené vyrovnávací platby</w:t>
      </w:r>
      <w:r w:rsidR="00C91494">
        <w:rPr>
          <w:rFonts w:ascii="Arial" w:hAnsi="Arial" w:cs="Arial"/>
          <w:sz w:val="20"/>
        </w:rPr>
        <w:t>, je</w:t>
      </w:r>
      <w:r w:rsidR="00AF7719">
        <w:rPr>
          <w:rFonts w:ascii="Arial" w:hAnsi="Arial" w:cs="Arial"/>
          <w:sz w:val="20"/>
        </w:rPr>
        <w:t xml:space="preserve"> poskytovatel</w:t>
      </w:r>
      <w:r w:rsidR="00C91494">
        <w:rPr>
          <w:rFonts w:ascii="Arial" w:hAnsi="Arial" w:cs="Arial"/>
          <w:sz w:val="20"/>
        </w:rPr>
        <w:t xml:space="preserve"> povinen </w:t>
      </w:r>
      <w:r w:rsidR="00C91494" w:rsidRPr="00056E05"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</w:rPr>
        <w:t>e</w:t>
      </w:r>
      <w:r w:rsidR="00C91494" w:rsidRPr="00056E05">
        <w:rPr>
          <w:rFonts w:ascii="Arial" w:hAnsi="Arial" w:cs="Arial"/>
          <w:sz w:val="20"/>
        </w:rPr>
        <w:t> stanovené lhůtě</w:t>
      </w:r>
      <w:r w:rsidR="006E4EE5">
        <w:rPr>
          <w:rFonts w:ascii="Arial" w:hAnsi="Arial" w:cs="Arial"/>
          <w:sz w:val="20"/>
        </w:rPr>
        <w:t>, ne</w:t>
      </w:r>
      <w:r w:rsidR="00196E42">
        <w:rPr>
          <w:rFonts w:ascii="Arial" w:hAnsi="Arial" w:cs="Arial"/>
          <w:sz w:val="20"/>
        </w:rPr>
        <w:t xml:space="preserve"> delší</w:t>
      </w:r>
      <w:r w:rsidR="006E4EE5">
        <w:rPr>
          <w:rFonts w:ascii="Arial" w:hAnsi="Arial" w:cs="Arial"/>
          <w:sz w:val="20"/>
        </w:rPr>
        <w:t xml:space="preserve"> než</w:t>
      </w:r>
      <w:r w:rsidR="00196E42">
        <w:rPr>
          <w:rFonts w:ascii="Arial" w:hAnsi="Arial" w:cs="Arial"/>
          <w:sz w:val="20"/>
        </w:rPr>
        <w:t xml:space="preserve"> třicet kalendářních dní</w:t>
      </w:r>
      <w:r w:rsidR="006E4EE5">
        <w:rPr>
          <w:rFonts w:ascii="Arial" w:hAnsi="Arial" w:cs="Arial"/>
          <w:sz w:val="20"/>
        </w:rPr>
        <w:t xml:space="preserve"> </w:t>
      </w:r>
      <w:r w:rsidR="00D07AED">
        <w:rPr>
          <w:rFonts w:ascii="Arial" w:hAnsi="Arial" w:cs="Arial"/>
          <w:sz w:val="20"/>
        </w:rPr>
        <w:lastRenderedPageBreak/>
        <w:t>počínaje</w:t>
      </w:r>
      <w:r w:rsidR="00196E42">
        <w:rPr>
          <w:rFonts w:ascii="Arial" w:hAnsi="Arial" w:cs="Arial"/>
          <w:sz w:val="20"/>
        </w:rPr>
        <w:t xml:space="preserve"> následujícím kalendářním měsícem</w:t>
      </w:r>
      <w:r w:rsidR="006E4EE5">
        <w:rPr>
          <w:rFonts w:ascii="Arial" w:hAnsi="Arial" w:cs="Arial"/>
          <w:sz w:val="20"/>
        </w:rPr>
        <w:t>,</w:t>
      </w:r>
      <w:r w:rsidR="00C91494">
        <w:rPr>
          <w:rFonts w:ascii="Arial" w:hAnsi="Arial" w:cs="Arial"/>
          <w:sz w:val="20"/>
        </w:rPr>
        <w:t xml:space="preserve"> tak</w:t>
      </w:r>
      <w:r w:rsidR="006E4EE5">
        <w:rPr>
          <w:rFonts w:ascii="Arial" w:hAnsi="Arial" w:cs="Arial"/>
          <w:sz w:val="20"/>
        </w:rPr>
        <w:t>to</w:t>
      </w:r>
      <w:r w:rsidR="00C91494">
        <w:rPr>
          <w:rFonts w:ascii="Arial" w:hAnsi="Arial" w:cs="Arial"/>
          <w:sz w:val="20"/>
        </w:rPr>
        <w:t xml:space="preserve"> učinit</w:t>
      </w:r>
      <w:r w:rsidR="006E4EE5">
        <w:rPr>
          <w:rFonts w:ascii="Arial" w:hAnsi="Arial" w:cs="Arial"/>
          <w:sz w:val="20"/>
        </w:rPr>
        <w:t xml:space="preserve"> a poukázat platbu na bankovní účet</w:t>
      </w:r>
      <w:r w:rsidR="00170701">
        <w:rPr>
          <w:rFonts w:ascii="Arial" w:hAnsi="Arial" w:cs="Arial"/>
          <w:sz w:val="20"/>
        </w:rPr>
        <w:t>,</w:t>
      </w:r>
      <w:r w:rsidR="006E4EE5">
        <w:rPr>
          <w:rFonts w:ascii="Arial" w:hAnsi="Arial" w:cs="Arial"/>
          <w:sz w:val="20"/>
        </w:rPr>
        <w:t xml:space="preserve"> uvedený pověřovatelem ve výzvě.</w:t>
      </w:r>
    </w:p>
    <w:p w14:paraId="5164B531" w14:textId="77777777" w:rsidR="009355D6" w:rsidRPr="006B2A7F" w:rsidRDefault="009355D6" w:rsidP="006B2A7F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 w:rsidRPr="006B2A7F">
        <w:rPr>
          <w:rFonts w:ascii="Arial" w:hAnsi="Arial" w:cs="Arial"/>
          <w:sz w:val="20"/>
        </w:rPr>
        <w:t>Poskytovatel má povinnost uchovávat veškeré doklady vztahující se k uloženému závazku veřejné služby po dobu nejméně 10 let od konce doby pověření</w:t>
      </w:r>
      <w:r w:rsidR="006630BA">
        <w:rPr>
          <w:rFonts w:ascii="Arial" w:hAnsi="Arial" w:cs="Arial"/>
          <w:sz w:val="20"/>
        </w:rPr>
        <w:t>.</w:t>
      </w:r>
    </w:p>
    <w:p w14:paraId="3CC21745" w14:textId="77777777" w:rsidR="009A6143" w:rsidRDefault="009A6143" w:rsidP="00C73289">
      <w:pPr>
        <w:rPr>
          <w:rFonts w:ascii="Arial" w:hAnsi="Arial" w:cs="Arial"/>
          <w:sz w:val="20"/>
        </w:rPr>
      </w:pPr>
    </w:p>
    <w:p w14:paraId="7D037E6A" w14:textId="77777777" w:rsidR="00C91494" w:rsidRPr="00056E05" w:rsidRDefault="00C91494" w:rsidP="009A6143">
      <w:pPr>
        <w:rPr>
          <w:rFonts w:ascii="Arial" w:hAnsi="Arial" w:cs="Arial"/>
          <w:sz w:val="20"/>
        </w:rPr>
      </w:pPr>
    </w:p>
    <w:p w14:paraId="0A15AC3C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C7D39DB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Kontrola, sankce</w:t>
      </w:r>
    </w:p>
    <w:p w14:paraId="6B21925F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1F9449F" w14:textId="77777777" w:rsidR="00E5005F" w:rsidRPr="0084394F" w:rsidRDefault="009A6143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</w:t>
      </w:r>
      <w:r w:rsidR="00397044" w:rsidRPr="0084394F">
        <w:rPr>
          <w:rFonts w:ascii="Arial" w:hAnsi="Arial"/>
          <w:sz w:val="20"/>
        </w:rPr>
        <w:t>oskytovatel</w:t>
      </w:r>
      <w:r w:rsidRPr="0084394F">
        <w:rPr>
          <w:rFonts w:ascii="Arial" w:hAnsi="Arial"/>
          <w:sz w:val="20"/>
        </w:rPr>
        <w:t xml:space="preserve"> je povinen realizovat nápravná opatření, uložená kontrolním orgánem </w:t>
      </w:r>
      <w:r w:rsidR="00252AD9" w:rsidRPr="0084394F">
        <w:rPr>
          <w:rFonts w:ascii="Arial" w:hAnsi="Arial"/>
          <w:sz w:val="20"/>
        </w:rPr>
        <w:t xml:space="preserve">pověřovatele </w:t>
      </w:r>
      <w:r w:rsidRPr="0084394F">
        <w:rPr>
          <w:rFonts w:ascii="Arial" w:hAnsi="Arial"/>
          <w:sz w:val="20"/>
        </w:rPr>
        <w:t xml:space="preserve">na základě kontrol zaměřených na </w:t>
      </w:r>
      <w:r w:rsidR="00C06F54" w:rsidRPr="0084394F">
        <w:rPr>
          <w:rFonts w:ascii="Arial" w:hAnsi="Arial"/>
          <w:sz w:val="20"/>
        </w:rPr>
        <w:t>plnění závazku SOHZ</w:t>
      </w:r>
      <w:r w:rsidRPr="0084394F">
        <w:rPr>
          <w:rFonts w:ascii="Arial" w:hAnsi="Arial"/>
          <w:sz w:val="20"/>
        </w:rPr>
        <w:t xml:space="preserve"> </w:t>
      </w:r>
      <w:r w:rsidR="001B486B">
        <w:rPr>
          <w:rFonts w:ascii="Arial" w:hAnsi="Arial"/>
          <w:sz w:val="20"/>
        </w:rPr>
        <w:t xml:space="preserve">sociálního bydlení </w:t>
      </w:r>
      <w:r w:rsidRPr="0084394F">
        <w:rPr>
          <w:rFonts w:ascii="Arial" w:hAnsi="Arial"/>
          <w:sz w:val="20"/>
        </w:rPr>
        <w:t>v termínu, rozsahu a</w:t>
      </w:r>
      <w:r w:rsidR="004D4B1E">
        <w:rPr>
          <w:rFonts w:ascii="Arial" w:hAnsi="Arial"/>
          <w:sz w:val="20"/>
        </w:rPr>
        <w:t> </w:t>
      </w:r>
      <w:r w:rsidRPr="0084394F">
        <w:rPr>
          <w:rFonts w:ascii="Arial" w:hAnsi="Arial"/>
          <w:sz w:val="20"/>
        </w:rPr>
        <w:t xml:space="preserve">kvalitě </w:t>
      </w:r>
      <w:r w:rsidR="00AD600D" w:rsidRPr="0084394F">
        <w:rPr>
          <w:rFonts w:ascii="Arial" w:hAnsi="Arial"/>
          <w:sz w:val="20"/>
        </w:rPr>
        <w:t>po</w:t>
      </w:r>
      <w:r w:rsidRPr="0084394F">
        <w:rPr>
          <w:rFonts w:ascii="Arial" w:hAnsi="Arial"/>
          <w:sz w:val="20"/>
        </w:rPr>
        <w:t xml:space="preserve">dle požadavků </w:t>
      </w:r>
      <w:r w:rsidR="00E5005F" w:rsidRPr="0084394F">
        <w:rPr>
          <w:rFonts w:ascii="Arial" w:hAnsi="Arial"/>
          <w:sz w:val="20"/>
        </w:rPr>
        <w:t>pověřovatele</w:t>
      </w:r>
      <w:r w:rsidRPr="0084394F">
        <w:rPr>
          <w:rFonts w:ascii="Arial" w:hAnsi="Arial"/>
          <w:sz w:val="20"/>
        </w:rPr>
        <w:t>.</w:t>
      </w:r>
    </w:p>
    <w:p w14:paraId="52CA2FD9" w14:textId="77777777" w:rsidR="00E5005F" w:rsidRPr="0084394F" w:rsidRDefault="00E5005F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Kontrola ze strany pověřovatele se zaměřuje na plnění závazků poskytovatele, vyplývající</w:t>
      </w:r>
      <w:r w:rsidR="00D1119A">
        <w:rPr>
          <w:rFonts w:ascii="Arial" w:hAnsi="Arial"/>
          <w:sz w:val="20"/>
        </w:rPr>
        <w:t>ch</w:t>
      </w:r>
      <w:r w:rsidRPr="0084394F">
        <w:rPr>
          <w:rFonts w:ascii="Arial" w:hAnsi="Arial"/>
          <w:sz w:val="20"/>
        </w:rPr>
        <w:t xml:space="preserve"> z  pověření, rovněž tak ze závazků, vyplývajících ze</w:t>
      </w:r>
      <w:r w:rsidR="009B2A90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 xml:space="preserve">SPŽP, jež jsou přílohou </w:t>
      </w:r>
      <w:r w:rsidR="001B486B">
        <w:rPr>
          <w:rFonts w:ascii="Arial" w:hAnsi="Arial"/>
          <w:sz w:val="20"/>
        </w:rPr>
        <w:t xml:space="preserve">č. 1 </w:t>
      </w:r>
      <w:r w:rsidRPr="0084394F">
        <w:rPr>
          <w:rFonts w:ascii="Arial" w:hAnsi="Arial"/>
          <w:sz w:val="20"/>
        </w:rPr>
        <w:t>Pověření</w:t>
      </w:r>
      <w:r w:rsidR="0084394F" w:rsidRPr="0084394F">
        <w:rPr>
          <w:rFonts w:ascii="Arial" w:hAnsi="Arial"/>
          <w:sz w:val="20"/>
        </w:rPr>
        <w:t>.</w:t>
      </w:r>
    </w:p>
    <w:p w14:paraId="319A787E" w14:textId="77777777" w:rsidR="00252AD9" w:rsidRPr="0084394F" w:rsidRDefault="00397044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Poskytovatel</w:t>
      </w:r>
      <w:r w:rsidR="009A6143" w:rsidRPr="0084394F">
        <w:rPr>
          <w:rFonts w:ascii="Arial" w:hAnsi="Arial"/>
          <w:sz w:val="20"/>
        </w:rPr>
        <w:t xml:space="preserve"> je povinen písemně informovat </w:t>
      </w:r>
      <w:r w:rsidR="0084394F">
        <w:rPr>
          <w:rFonts w:ascii="Arial" w:hAnsi="Arial"/>
          <w:sz w:val="20"/>
        </w:rPr>
        <w:t xml:space="preserve">kontrolní </w:t>
      </w:r>
      <w:r w:rsidR="009A6143" w:rsidRPr="0084394F">
        <w:rPr>
          <w:rFonts w:ascii="Arial" w:hAnsi="Arial"/>
          <w:sz w:val="20"/>
        </w:rPr>
        <w:t>orgán</w:t>
      </w:r>
      <w:r w:rsidR="0084394F">
        <w:rPr>
          <w:rFonts w:ascii="Arial" w:hAnsi="Arial"/>
          <w:sz w:val="20"/>
        </w:rPr>
        <w:t xml:space="preserve"> </w:t>
      </w:r>
      <w:r w:rsidR="0084394F" w:rsidRPr="00543788">
        <w:rPr>
          <w:rFonts w:ascii="Arial" w:hAnsi="Arial"/>
          <w:sz w:val="20"/>
        </w:rPr>
        <w:t>pověřovatele</w:t>
      </w:r>
      <w:r w:rsidR="009A6143" w:rsidRPr="0084394F">
        <w:rPr>
          <w:rFonts w:ascii="Arial" w:hAnsi="Arial"/>
          <w:sz w:val="20"/>
        </w:rPr>
        <w:t xml:space="preserve">, který mu </w:t>
      </w:r>
      <w:r w:rsidR="00E5005F" w:rsidRPr="0084394F">
        <w:rPr>
          <w:rFonts w:ascii="Arial" w:hAnsi="Arial"/>
          <w:sz w:val="20"/>
        </w:rPr>
        <w:t xml:space="preserve">nápravná </w:t>
      </w:r>
      <w:r w:rsidR="009A6143" w:rsidRPr="0084394F">
        <w:rPr>
          <w:rFonts w:ascii="Arial" w:hAnsi="Arial"/>
          <w:sz w:val="20"/>
        </w:rPr>
        <w:t>opatření uložil, o splnění uložených opatření k nápravě v daném termínu</w:t>
      </w:r>
      <w:r w:rsidR="006E4EE5">
        <w:rPr>
          <w:rFonts w:ascii="Arial" w:hAnsi="Arial"/>
          <w:sz w:val="20"/>
        </w:rPr>
        <w:t>, uvedeném v kontrolní zprávě pověřovatele</w:t>
      </w:r>
      <w:r w:rsidR="009A6143" w:rsidRPr="0084394F">
        <w:rPr>
          <w:rFonts w:ascii="Arial" w:hAnsi="Arial"/>
          <w:sz w:val="20"/>
        </w:rPr>
        <w:t>.</w:t>
      </w:r>
    </w:p>
    <w:p w14:paraId="0E0D5065" w14:textId="77777777" w:rsidR="00252AD9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Pokud poskytovatel nesplní jemu uložená nápravná opatření, je pověřovatel oprávněn vůči poskytovateli </w:t>
      </w:r>
      <w:r w:rsidR="006E4EE5">
        <w:rPr>
          <w:rFonts w:ascii="Arial" w:hAnsi="Arial"/>
          <w:sz w:val="20"/>
        </w:rPr>
        <w:t>předepsat</w:t>
      </w:r>
      <w:r w:rsidR="006E4EE5" w:rsidRPr="0084394F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>odpovídající finanční sankci</w:t>
      </w:r>
      <w:r w:rsidR="00A65CA8">
        <w:rPr>
          <w:rFonts w:ascii="Arial" w:hAnsi="Arial"/>
          <w:sz w:val="20"/>
        </w:rPr>
        <w:t xml:space="preserve"> a vyžadovat její zaplacení na jím stanovený účet.</w:t>
      </w:r>
    </w:p>
    <w:p w14:paraId="2FD1E545" w14:textId="77777777" w:rsidR="00985218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Za nepředložení podkladů pro kontrolu</w:t>
      </w:r>
      <w:r w:rsidR="00A65CA8">
        <w:rPr>
          <w:rFonts w:ascii="Arial" w:hAnsi="Arial"/>
          <w:sz w:val="20"/>
        </w:rPr>
        <w:t xml:space="preserve"> anebo </w:t>
      </w:r>
      <w:r w:rsidRPr="00AA51D6">
        <w:rPr>
          <w:rFonts w:ascii="Arial" w:hAnsi="Arial"/>
          <w:sz w:val="20"/>
        </w:rPr>
        <w:t>opožděné odevzdání dokumen</w:t>
      </w:r>
      <w:r>
        <w:rPr>
          <w:rFonts w:ascii="Arial" w:hAnsi="Arial"/>
          <w:sz w:val="20"/>
        </w:rPr>
        <w:t>tů po uplynutí dodatečné lhůty je stanovena sankce</w:t>
      </w:r>
      <w:r w:rsidRPr="00AA51D6">
        <w:rPr>
          <w:rFonts w:ascii="Arial" w:hAnsi="Arial"/>
          <w:sz w:val="20"/>
        </w:rPr>
        <w:t xml:space="preserve"> 1 % z celkové částky </w:t>
      </w:r>
      <w:r>
        <w:rPr>
          <w:rFonts w:ascii="Arial" w:hAnsi="Arial"/>
          <w:sz w:val="20"/>
        </w:rPr>
        <w:t>vyrovnávací platby</w:t>
      </w:r>
      <w:r w:rsidRPr="00AA51D6">
        <w:rPr>
          <w:rFonts w:ascii="Arial" w:hAnsi="Arial"/>
          <w:sz w:val="20"/>
        </w:rPr>
        <w:t>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225552D9" w14:textId="176F242B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Za </w:t>
      </w:r>
      <w:r w:rsidR="006E4EE5">
        <w:rPr>
          <w:rFonts w:ascii="Arial" w:hAnsi="Arial"/>
          <w:sz w:val="20"/>
        </w:rPr>
        <w:t xml:space="preserve">překročení </w:t>
      </w:r>
      <w:r>
        <w:rPr>
          <w:rFonts w:ascii="Arial" w:hAnsi="Arial"/>
          <w:sz w:val="20"/>
        </w:rPr>
        <w:t xml:space="preserve">maximální hranice pro stanovené nájemné </w:t>
      </w:r>
      <w:r w:rsidR="008E6785">
        <w:rPr>
          <w:rFonts w:ascii="Arial" w:hAnsi="Arial"/>
          <w:sz w:val="20"/>
        </w:rPr>
        <w:t xml:space="preserve">uvedené </w:t>
      </w:r>
      <w:r w:rsidR="001B486B">
        <w:rPr>
          <w:rFonts w:ascii="Arial" w:hAnsi="Arial"/>
          <w:sz w:val="20"/>
        </w:rPr>
        <w:t xml:space="preserve">v příloze </w:t>
      </w:r>
      <w:r w:rsidR="00712177">
        <w:rPr>
          <w:rFonts w:ascii="Arial" w:hAnsi="Arial"/>
          <w:sz w:val="20"/>
        </w:rPr>
        <w:t xml:space="preserve">č. </w:t>
      </w:r>
      <w:r w:rsidR="008E6785">
        <w:rPr>
          <w:rFonts w:ascii="Arial" w:hAnsi="Arial"/>
          <w:sz w:val="20"/>
        </w:rPr>
        <w:t xml:space="preserve">1 </w:t>
      </w:r>
      <w:r>
        <w:rPr>
          <w:rFonts w:ascii="Arial" w:hAnsi="Arial"/>
          <w:sz w:val="20"/>
        </w:rPr>
        <w:t xml:space="preserve">– 10 % </w:t>
      </w:r>
      <w:r w:rsidRPr="00AA51D6">
        <w:rPr>
          <w:rFonts w:ascii="Arial" w:hAnsi="Arial"/>
          <w:sz w:val="20"/>
        </w:rPr>
        <w:t>z celkové částky vyrovnávací platby</w:t>
      </w:r>
      <w:r w:rsidR="004C79DE">
        <w:rPr>
          <w:rFonts w:ascii="Arial" w:hAnsi="Arial"/>
          <w:sz w:val="20"/>
        </w:rPr>
        <w:t>.</w:t>
      </w:r>
    </w:p>
    <w:p w14:paraId="3E580CF3" w14:textId="77777777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 w:rsidRPr="00AA51D6">
        <w:rPr>
          <w:rFonts w:ascii="Arial" w:hAnsi="Arial"/>
          <w:sz w:val="20"/>
        </w:rPr>
        <w:t>Ostatní porušení méně závažného charakteru – 0,5 %</w:t>
      </w:r>
      <w:r w:rsidRPr="00AA51D6">
        <w:t xml:space="preserve"> </w:t>
      </w:r>
      <w:r w:rsidRPr="00AA51D6">
        <w:rPr>
          <w:rFonts w:ascii="Arial" w:hAnsi="Arial"/>
          <w:sz w:val="20"/>
        </w:rPr>
        <w:t>z celkové částky vyrovnávací platby,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52F59002" w14:textId="55FC846D" w:rsidR="00AA51D6" w:rsidRPr="00724EF2" w:rsidRDefault="00724EF2" w:rsidP="00724EF2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724EF2">
        <w:rPr>
          <w:rFonts w:ascii="Arial" w:hAnsi="Arial"/>
          <w:sz w:val="20"/>
        </w:rPr>
        <w:t xml:space="preserve">Pokud poskytovatel uzavře nájemní smlouvu s osobou, která není z cílové skupiny </w:t>
      </w:r>
      <w:r w:rsidR="00367915">
        <w:rPr>
          <w:rFonts w:ascii="Arial" w:hAnsi="Arial"/>
          <w:sz w:val="20"/>
        </w:rPr>
        <w:t>po</w:t>
      </w:r>
      <w:r w:rsidRPr="00724EF2">
        <w:rPr>
          <w:rFonts w:ascii="Arial" w:hAnsi="Arial"/>
          <w:sz w:val="20"/>
        </w:rPr>
        <w:t>dle SPŽ</w:t>
      </w:r>
      <w:r w:rsidR="004C79DE">
        <w:rPr>
          <w:rFonts w:ascii="Arial" w:hAnsi="Arial"/>
          <w:sz w:val="20"/>
        </w:rPr>
        <w:t>P</w:t>
      </w:r>
      <w:r w:rsidR="003F350A">
        <w:rPr>
          <w:rFonts w:ascii="Arial" w:hAnsi="Arial"/>
          <w:sz w:val="20"/>
        </w:rPr>
        <w:t xml:space="preserve"> a zároveň nejsou uspokojeni všichni žadatelé z cílových skupin daných výzvou v dané lokalitě, případně přesáhne maximální povolenou dobu obsazení sociálního bytu osobu mimo cílovou skupinu podle SPŽP v délce 1 roku</w:t>
      </w:r>
      <w:r w:rsidR="000E4000">
        <w:rPr>
          <w:rFonts w:ascii="Arial" w:hAnsi="Arial"/>
          <w:sz w:val="20"/>
        </w:rPr>
        <w:t>,</w:t>
      </w:r>
      <w:r w:rsidRPr="00724EF2">
        <w:rPr>
          <w:rFonts w:ascii="Arial" w:hAnsi="Arial"/>
          <w:sz w:val="20"/>
        </w:rPr>
        <w:t xml:space="preserve"> pověřovatel předepíše </w:t>
      </w:r>
      <w:r>
        <w:rPr>
          <w:rFonts w:ascii="Arial" w:hAnsi="Arial"/>
          <w:sz w:val="20"/>
        </w:rPr>
        <w:t xml:space="preserve">poskytovateli </w:t>
      </w:r>
      <w:r w:rsidRPr="00724EF2">
        <w:rPr>
          <w:rFonts w:ascii="Arial" w:hAnsi="Arial"/>
          <w:sz w:val="20"/>
        </w:rPr>
        <w:t xml:space="preserve">finanční sankci ve výši poměrné části vyrovnávací platby </w:t>
      </w:r>
      <w:r>
        <w:rPr>
          <w:rFonts w:ascii="Arial" w:hAnsi="Arial"/>
          <w:sz w:val="20"/>
        </w:rPr>
        <w:t>odpovídající délce doby</w:t>
      </w:r>
      <w:r w:rsidR="000E4000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po kterou není byt obsazen osobou z cílové skupiny. </w:t>
      </w:r>
      <w:r w:rsidRPr="00724EF2">
        <w:rPr>
          <w:rFonts w:ascii="Arial" w:hAnsi="Arial"/>
          <w:sz w:val="20"/>
        </w:rPr>
        <w:t xml:space="preserve"> </w:t>
      </w:r>
    </w:p>
    <w:p w14:paraId="31A26C60" w14:textId="77777777" w:rsidR="00E5005F" w:rsidRPr="0084394F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Finanční sankce se </w:t>
      </w:r>
      <w:r w:rsidR="000E4000">
        <w:rPr>
          <w:rFonts w:ascii="Arial" w:hAnsi="Arial"/>
          <w:sz w:val="20"/>
        </w:rPr>
        <w:t>mohou</w:t>
      </w:r>
      <w:r w:rsidRPr="0084394F">
        <w:rPr>
          <w:rFonts w:ascii="Arial" w:hAnsi="Arial"/>
          <w:sz w:val="20"/>
        </w:rPr>
        <w:t xml:space="preserve"> pohybovat až do výše poskytnuté celkové vyrovnávací platby. </w:t>
      </w:r>
    </w:p>
    <w:p w14:paraId="3F247BF0" w14:textId="77777777" w:rsidR="009A6143" w:rsidRPr="0084394F" w:rsidRDefault="00E5005F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Stanovenou finanční sankci </w:t>
      </w:r>
      <w:r w:rsidR="000E4000">
        <w:rPr>
          <w:rFonts w:ascii="Arial" w:hAnsi="Arial"/>
          <w:sz w:val="20"/>
        </w:rPr>
        <w:t xml:space="preserve">je </w:t>
      </w:r>
      <w:r w:rsidRPr="0084394F">
        <w:rPr>
          <w:rFonts w:ascii="Arial" w:hAnsi="Arial"/>
          <w:sz w:val="20"/>
        </w:rPr>
        <w:t>poskytovatel</w:t>
      </w:r>
      <w:r w:rsidR="00A65CA8">
        <w:rPr>
          <w:rFonts w:ascii="Arial" w:hAnsi="Arial"/>
          <w:sz w:val="20"/>
        </w:rPr>
        <w:t xml:space="preserve"> povinen uhradit </w:t>
      </w:r>
      <w:r w:rsidRPr="0084394F">
        <w:rPr>
          <w:rFonts w:ascii="Arial" w:hAnsi="Arial"/>
          <w:sz w:val="20"/>
        </w:rPr>
        <w:t>na účet pověřovatele, a to nejpozději do dne určeného pověřovatelem. Rozhodným dnem</w:t>
      </w:r>
      <w:r w:rsidR="008E6785">
        <w:rPr>
          <w:rFonts w:ascii="Arial" w:hAnsi="Arial"/>
          <w:sz w:val="20"/>
        </w:rPr>
        <w:t xml:space="preserve">, kdy je stanovená finanční sankce </w:t>
      </w:r>
      <w:r w:rsidR="004C79DE">
        <w:rPr>
          <w:rFonts w:ascii="Arial" w:hAnsi="Arial"/>
          <w:sz w:val="20"/>
        </w:rPr>
        <w:t>uhrazena</w:t>
      </w:r>
      <w:r w:rsidR="008E6785">
        <w:rPr>
          <w:rFonts w:ascii="Arial" w:hAnsi="Arial"/>
          <w:sz w:val="20"/>
        </w:rPr>
        <w:t>,</w:t>
      </w:r>
      <w:r w:rsidRPr="0084394F">
        <w:rPr>
          <w:rFonts w:ascii="Arial" w:hAnsi="Arial"/>
          <w:sz w:val="20"/>
        </w:rPr>
        <w:t xml:space="preserve"> je den vystavení příslušného převodního příkazu poskytovatelem</w:t>
      </w:r>
      <w:r w:rsidR="00A65CA8">
        <w:rPr>
          <w:rFonts w:ascii="Arial" w:hAnsi="Arial"/>
          <w:sz w:val="20"/>
        </w:rPr>
        <w:t xml:space="preserve"> a jeho předání bance poskytovatele k proplacení</w:t>
      </w:r>
      <w:r w:rsidRPr="0084394F">
        <w:rPr>
          <w:rFonts w:ascii="Arial" w:hAnsi="Arial"/>
          <w:sz w:val="20"/>
        </w:rPr>
        <w:t>.</w:t>
      </w:r>
    </w:p>
    <w:p w14:paraId="75B37097" w14:textId="362418C0" w:rsidR="003271B3" w:rsidRDefault="008C77D0" w:rsidP="009A614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Je-li poskytovatel v prodlení s návratem stanovené částky z titulu </w:t>
      </w:r>
      <w:r w:rsidR="00985218">
        <w:rPr>
          <w:rFonts w:ascii="Arial" w:hAnsi="Arial" w:cs="Arial"/>
          <w:sz w:val="20"/>
        </w:rPr>
        <w:t>nadměrně vyplacené vyrovnávací platby</w:t>
      </w:r>
      <w:r w:rsidR="00E5034F">
        <w:rPr>
          <w:rFonts w:ascii="Arial" w:hAnsi="Arial" w:cs="Arial"/>
          <w:sz w:val="20"/>
        </w:rPr>
        <w:t>,</w:t>
      </w:r>
      <w:r w:rsidR="008E678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anebo z titulu předchozích ustanovení</w:t>
      </w:r>
      <w:r w:rsidR="00E5005F">
        <w:rPr>
          <w:rFonts w:ascii="Arial" w:hAnsi="Arial" w:cs="Arial"/>
          <w:sz w:val="20"/>
        </w:rPr>
        <w:t xml:space="preserve"> v tomto článku</w:t>
      </w:r>
      <w:r>
        <w:rPr>
          <w:rFonts w:ascii="Arial" w:hAnsi="Arial" w:cs="Arial"/>
          <w:sz w:val="20"/>
        </w:rPr>
        <w:t xml:space="preserve">, </w:t>
      </w:r>
      <w:r w:rsidR="008E6785">
        <w:rPr>
          <w:rFonts w:ascii="Arial" w:hAnsi="Arial" w:cs="Arial"/>
          <w:sz w:val="20"/>
        </w:rPr>
        <w:t>má</w:t>
      </w:r>
      <w:r>
        <w:rPr>
          <w:rFonts w:ascii="Arial" w:hAnsi="Arial" w:cs="Arial"/>
          <w:sz w:val="20"/>
        </w:rPr>
        <w:t xml:space="preserve"> pověřovatel </w:t>
      </w:r>
      <w:r w:rsidR="008E6785">
        <w:rPr>
          <w:rFonts w:ascii="Arial" w:hAnsi="Arial" w:cs="Arial"/>
          <w:sz w:val="20"/>
        </w:rPr>
        <w:t xml:space="preserve">nárok na </w:t>
      </w:r>
      <w:r>
        <w:rPr>
          <w:rFonts w:ascii="Arial" w:hAnsi="Arial" w:cs="Arial"/>
          <w:sz w:val="20"/>
        </w:rPr>
        <w:t>poplatek z prodlení ve výši 1</w:t>
      </w:r>
      <w:r w:rsidR="00196A5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promile </w:t>
      </w:r>
      <w:r w:rsidR="00A65CA8">
        <w:rPr>
          <w:rFonts w:ascii="Arial" w:hAnsi="Arial" w:cs="Arial"/>
          <w:sz w:val="20"/>
        </w:rPr>
        <w:t xml:space="preserve">ze stanovené částky </w:t>
      </w:r>
      <w:r>
        <w:rPr>
          <w:rFonts w:ascii="Arial" w:hAnsi="Arial" w:cs="Arial"/>
          <w:sz w:val="20"/>
        </w:rPr>
        <w:t xml:space="preserve">za každý </w:t>
      </w:r>
      <w:r w:rsidR="008E6785">
        <w:rPr>
          <w:rFonts w:ascii="Arial" w:hAnsi="Arial" w:cs="Arial"/>
          <w:sz w:val="20"/>
        </w:rPr>
        <w:t xml:space="preserve">i započatý </w:t>
      </w:r>
      <w:r>
        <w:rPr>
          <w:rFonts w:ascii="Arial" w:hAnsi="Arial" w:cs="Arial"/>
          <w:sz w:val="20"/>
        </w:rPr>
        <w:t xml:space="preserve">den prodlení, nejvýše však do výše </w:t>
      </w:r>
      <w:r w:rsidR="008E6785">
        <w:rPr>
          <w:rFonts w:ascii="Arial" w:hAnsi="Arial" w:cs="Arial"/>
          <w:sz w:val="20"/>
        </w:rPr>
        <w:t xml:space="preserve">částky přesahující vyrovnávací platbu, </w:t>
      </w:r>
      <w:r w:rsidR="0084394F">
        <w:rPr>
          <w:rFonts w:ascii="Arial" w:hAnsi="Arial" w:cs="Arial"/>
          <w:sz w:val="20"/>
        </w:rPr>
        <w:t>respektive stanovené finanční sankce</w:t>
      </w:r>
      <w:r>
        <w:rPr>
          <w:rFonts w:ascii="Arial" w:hAnsi="Arial" w:cs="Arial"/>
          <w:sz w:val="20"/>
        </w:rPr>
        <w:t xml:space="preserve">. Poplatek z prodlení se počítá ode dne následujícího, kdy </w:t>
      </w:r>
      <w:r w:rsidR="00A65CA8">
        <w:rPr>
          <w:rFonts w:ascii="Arial" w:hAnsi="Arial" w:cs="Arial"/>
          <w:sz w:val="20"/>
        </w:rPr>
        <w:t xml:space="preserve">marně uplynula lhůta k zaplacení, stanovená pověřovatelem, v níž </w:t>
      </w:r>
      <w:r>
        <w:rPr>
          <w:rFonts w:ascii="Arial" w:hAnsi="Arial" w:cs="Arial"/>
          <w:sz w:val="20"/>
        </w:rPr>
        <w:t>pověřovatel uplatnil svůj nárok na vratnou částku</w:t>
      </w:r>
      <w:r w:rsidR="00170701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do dne připsání peněžních prostředků na účet pověřovatele. </w:t>
      </w:r>
    </w:p>
    <w:p w14:paraId="7FF338DA" w14:textId="36898A82" w:rsidR="009355D6" w:rsidRDefault="009355D6" w:rsidP="009355D6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 w:rsidRPr="009355D6">
        <w:rPr>
          <w:rFonts w:ascii="Arial" w:hAnsi="Arial" w:cs="Arial"/>
          <w:sz w:val="20"/>
        </w:rPr>
        <w:t>Poruší-li poskytovatel</w:t>
      </w:r>
      <w:r w:rsidR="000D66FB">
        <w:rPr>
          <w:rFonts w:ascii="Arial" w:hAnsi="Arial" w:cs="Arial"/>
          <w:sz w:val="20"/>
        </w:rPr>
        <w:t xml:space="preserve"> </w:t>
      </w:r>
      <w:r w:rsidR="006D7DEB">
        <w:rPr>
          <w:rFonts w:ascii="Arial" w:hAnsi="Arial" w:cs="Arial"/>
          <w:sz w:val="20"/>
        </w:rPr>
        <w:t>podstatným</w:t>
      </w:r>
      <w:r w:rsidRPr="009355D6">
        <w:rPr>
          <w:rFonts w:ascii="Arial" w:hAnsi="Arial" w:cs="Arial"/>
          <w:sz w:val="20"/>
        </w:rPr>
        <w:t xml:space="preserve"> způsobem</w:t>
      </w:r>
      <w:r w:rsidRPr="009355D6">
        <w:t xml:space="preserve"> </w:t>
      </w:r>
      <w:r w:rsidRPr="009355D6">
        <w:rPr>
          <w:rFonts w:ascii="Arial" w:hAnsi="Arial" w:cs="Arial"/>
          <w:sz w:val="20"/>
        </w:rPr>
        <w:t xml:space="preserve">povinnosti vyplývající mu z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</w:t>
      </w:r>
      <w:r w:rsidR="006819FD">
        <w:rPr>
          <w:rFonts w:ascii="Arial" w:hAnsi="Arial" w:cs="Arial"/>
          <w:sz w:val="20"/>
        </w:rPr>
        <w:t>,</w:t>
      </w:r>
      <w:r w:rsidRPr="009355D6">
        <w:rPr>
          <w:rFonts w:ascii="Arial" w:hAnsi="Arial" w:cs="Arial"/>
          <w:sz w:val="20"/>
        </w:rPr>
        <w:t xml:space="preserve"> je pověřovatel oprávněn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 xml:space="preserve">ověřovacího aktu odstoupit. V případě odstoupení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 je poskytovatel povinen do 15 dnů ode dne doručení výzvy pověřovatele</w:t>
      </w:r>
      <w:r>
        <w:rPr>
          <w:rFonts w:ascii="Arial" w:hAnsi="Arial" w:cs="Arial"/>
          <w:sz w:val="20"/>
        </w:rPr>
        <w:t xml:space="preserve"> </w:t>
      </w:r>
      <w:r w:rsidRPr="009355D6">
        <w:rPr>
          <w:rFonts w:ascii="Arial" w:hAnsi="Arial" w:cs="Arial"/>
          <w:sz w:val="20"/>
        </w:rPr>
        <w:t>vrátit na účet pověřovatele</w:t>
      </w:r>
      <w:r w:rsidR="0017425E">
        <w:rPr>
          <w:rFonts w:ascii="Arial" w:hAnsi="Arial" w:cs="Arial"/>
          <w:sz w:val="20"/>
        </w:rPr>
        <w:t xml:space="preserve"> poměrnou část vyrovnávací platby odpovídající délce doby, po kterou </w:t>
      </w:r>
      <w:r w:rsidR="006C6A59">
        <w:rPr>
          <w:rFonts w:ascii="Arial" w:hAnsi="Arial" w:cs="Arial"/>
          <w:sz w:val="20"/>
        </w:rPr>
        <w:t>ne</w:t>
      </w:r>
      <w:r w:rsidR="0017425E">
        <w:rPr>
          <w:rFonts w:ascii="Arial" w:hAnsi="Arial" w:cs="Arial"/>
          <w:sz w:val="20"/>
        </w:rPr>
        <w:t>byly podmínky plněny bez závad</w:t>
      </w:r>
      <w:r w:rsidRPr="009355D6">
        <w:rPr>
          <w:rFonts w:ascii="Arial" w:hAnsi="Arial" w:cs="Arial"/>
          <w:sz w:val="20"/>
        </w:rPr>
        <w:t>. Za</w:t>
      </w:r>
      <w:r w:rsidR="006D7DEB">
        <w:rPr>
          <w:rFonts w:ascii="Arial" w:hAnsi="Arial" w:cs="Arial"/>
          <w:sz w:val="20"/>
        </w:rPr>
        <w:t xml:space="preserve"> podstatné</w:t>
      </w:r>
      <w:r w:rsidRPr="009355D6">
        <w:rPr>
          <w:rFonts w:ascii="Arial" w:hAnsi="Arial" w:cs="Arial"/>
          <w:sz w:val="20"/>
        </w:rPr>
        <w:t xml:space="preserve"> porušení se považuje</w:t>
      </w:r>
      <w:r>
        <w:rPr>
          <w:rFonts w:ascii="Arial" w:hAnsi="Arial" w:cs="Arial"/>
          <w:sz w:val="20"/>
        </w:rPr>
        <w:t>:</w:t>
      </w:r>
    </w:p>
    <w:p w14:paraId="30D907E5" w14:textId="4056F914" w:rsidR="009355D6" w:rsidRDefault="006C6A59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 rozporu s podmínkami o</w:t>
      </w:r>
      <w:r w:rsidR="008E6785">
        <w:rPr>
          <w:rFonts w:ascii="Arial" w:hAnsi="Arial" w:cs="Arial"/>
          <w:sz w:val="20"/>
        </w:rPr>
        <w:t xml:space="preserve">pakovaně uzavře </w:t>
      </w:r>
      <w:r w:rsidR="009355D6">
        <w:rPr>
          <w:rFonts w:ascii="Arial" w:hAnsi="Arial" w:cs="Arial"/>
          <w:sz w:val="20"/>
        </w:rPr>
        <w:t xml:space="preserve">nájemní </w:t>
      </w:r>
      <w:r w:rsidR="008E6785">
        <w:rPr>
          <w:rFonts w:ascii="Arial" w:hAnsi="Arial" w:cs="Arial"/>
          <w:sz w:val="20"/>
        </w:rPr>
        <w:t xml:space="preserve">smlouvu </w:t>
      </w:r>
      <w:r w:rsidR="009355D6">
        <w:rPr>
          <w:rFonts w:ascii="Arial" w:hAnsi="Arial" w:cs="Arial"/>
          <w:sz w:val="20"/>
        </w:rPr>
        <w:t xml:space="preserve">s osobou, která nespadá do cílové skupiny. </w:t>
      </w:r>
    </w:p>
    <w:p w14:paraId="1110AA0C" w14:textId="77777777" w:rsidR="006A0CEA" w:rsidRDefault="009355D6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Převod bytu</w:t>
      </w:r>
      <w:r w:rsidR="00A65CA8">
        <w:rPr>
          <w:rFonts w:ascii="Arial" w:hAnsi="Arial" w:cs="Arial"/>
          <w:sz w:val="20"/>
        </w:rPr>
        <w:t>, který je předmětem tohoto pověření,</w:t>
      </w:r>
      <w:r>
        <w:rPr>
          <w:rFonts w:ascii="Arial" w:hAnsi="Arial" w:cs="Arial"/>
          <w:sz w:val="20"/>
        </w:rPr>
        <w:t xml:space="preserve"> na jinou osobu, bez souhlasu pověřovatele</w:t>
      </w:r>
      <w:r w:rsidR="006819FD">
        <w:rPr>
          <w:rFonts w:ascii="Arial" w:hAnsi="Arial" w:cs="Arial"/>
          <w:sz w:val="20"/>
        </w:rPr>
        <w:t>.</w:t>
      </w:r>
    </w:p>
    <w:p w14:paraId="47583745" w14:textId="77777777" w:rsidR="00664ED2" w:rsidRDefault="00664ED2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5563EFBD" w14:textId="77777777" w:rsidR="00277718" w:rsidRDefault="00277718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1E4D32A7" w14:textId="7FC8CCC0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3271B3">
        <w:rPr>
          <w:rFonts w:ascii="Arial" w:hAnsi="Arial" w:cs="Arial"/>
          <w:b/>
          <w:smallCaps/>
          <w:sz w:val="22"/>
        </w:rPr>
        <w:t>VI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129CE951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Trvání pověřovacího aktu</w:t>
      </w:r>
    </w:p>
    <w:p w14:paraId="28AF8831" w14:textId="77777777" w:rsidR="009A6143" w:rsidRPr="00056E05" w:rsidRDefault="009A6143" w:rsidP="009A6143">
      <w:pPr>
        <w:rPr>
          <w:rFonts w:ascii="Arial" w:hAnsi="Arial" w:cs="Arial"/>
          <w:sz w:val="22"/>
        </w:rPr>
      </w:pPr>
    </w:p>
    <w:p w14:paraId="71088961" w14:textId="652359CF" w:rsidR="009A6143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 akt se uzavírá</w:t>
      </w:r>
      <w:r w:rsidR="004634EE">
        <w:rPr>
          <w:rFonts w:ascii="Arial" w:hAnsi="Arial" w:cs="Arial"/>
          <w:sz w:val="20"/>
        </w:rPr>
        <w:t xml:space="preserve"> v kalendářních </w:t>
      </w:r>
      <w:r w:rsidR="001B7E58">
        <w:rPr>
          <w:rFonts w:ascii="Arial" w:hAnsi="Arial" w:cs="Arial"/>
          <w:sz w:val="20"/>
        </w:rPr>
        <w:t>letech</w:t>
      </w:r>
      <w:r w:rsidR="001B7E58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 dobu určitou</w:t>
      </w:r>
      <w:r w:rsidR="00520709">
        <w:rPr>
          <w:rFonts w:ascii="Arial" w:hAnsi="Arial" w:cs="Arial"/>
          <w:sz w:val="20"/>
        </w:rPr>
        <w:t xml:space="preserve"> 20 let</w:t>
      </w:r>
      <w:r>
        <w:rPr>
          <w:rFonts w:ascii="Arial" w:hAnsi="Arial" w:cs="Arial"/>
          <w:sz w:val="20"/>
        </w:rPr>
        <w:t>.</w:t>
      </w:r>
      <w:r w:rsidR="00482AB6">
        <w:rPr>
          <w:rFonts w:ascii="Arial" w:hAnsi="Arial" w:cs="Arial"/>
          <w:sz w:val="20"/>
        </w:rPr>
        <w:t xml:space="preserve">  </w:t>
      </w:r>
    </w:p>
    <w:p w14:paraId="6F8B3650" w14:textId="19DED83B" w:rsidR="007B7999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ověřovací akt vstupuje v platnost okamžikem podpisu oběma stranami</w:t>
      </w:r>
      <w:r w:rsidR="00414B53">
        <w:rPr>
          <w:rFonts w:ascii="Arial" w:hAnsi="Arial" w:cs="Arial"/>
          <w:sz w:val="20"/>
        </w:rPr>
        <w:t xml:space="preserve"> a je účinný okamžikem vydání Rozhodnutí o poskytnutí dotace</w:t>
      </w:r>
      <w:r w:rsidR="007B7999">
        <w:rPr>
          <w:rFonts w:ascii="Arial" w:hAnsi="Arial" w:cs="Arial"/>
          <w:sz w:val="20"/>
        </w:rPr>
        <w:t>.</w:t>
      </w:r>
      <w:r w:rsidR="00414B53">
        <w:rPr>
          <w:rFonts w:ascii="Arial" w:hAnsi="Arial" w:cs="Arial"/>
          <w:sz w:val="20"/>
        </w:rPr>
        <w:t xml:space="preserve"> </w:t>
      </w:r>
    </w:p>
    <w:p w14:paraId="4AAF8071" w14:textId="75FBB04D" w:rsidR="009A6143" w:rsidRDefault="009A6143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Před uplynutím lhůty uvedené v odstavci 1 může být </w:t>
      </w:r>
      <w:r w:rsidR="00A32DB9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ukončen písemnou dohodou smluvních stran, nebo odstoupením od </w:t>
      </w:r>
      <w:r w:rsidR="003F14CA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z</w:t>
      </w:r>
      <w:r w:rsidR="006A0CEA">
        <w:rPr>
          <w:rFonts w:ascii="Arial" w:hAnsi="Arial" w:cs="Arial"/>
          <w:sz w:val="20"/>
        </w:rPr>
        <w:t> </w:t>
      </w:r>
      <w:r w:rsidRPr="00056E05">
        <w:rPr>
          <w:rFonts w:ascii="Arial" w:hAnsi="Arial" w:cs="Arial"/>
          <w:sz w:val="20"/>
        </w:rPr>
        <w:t>důvodu</w:t>
      </w:r>
      <w:r w:rsidR="006A0CEA">
        <w:rPr>
          <w:rFonts w:ascii="Arial" w:hAnsi="Arial" w:cs="Arial"/>
          <w:sz w:val="20"/>
        </w:rPr>
        <w:t xml:space="preserve"> uvedeným v čl.</w:t>
      </w:r>
      <w:r w:rsidR="00277718">
        <w:rPr>
          <w:rFonts w:ascii="Arial" w:hAnsi="Arial" w:cs="Arial"/>
          <w:sz w:val="20"/>
        </w:rPr>
        <w:t> </w:t>
      </w:r>
      <w:r w:rsidR="006A0CEA">
        <w:rPr>
          <w:rFonts w:ascii="Arial" w:hAnsi="Arial" w:cs="Arial"/>
          <w:sz w:val="20"/>
        </w:rPr>
        <w:t>VI. bod 9</w:t>
      </w:r>
      <w:r w:rsidRPr="00056E05">
        <w:rPr>
          <w:rFonts w:ascii="Arial" w:hAnsi="Arial" w:cs="Arial"/>
          <w:sz w:val="20"/>
        </w:rPr>
        <w:t xml:space="preserve">. </w:t>
      </w:r>
    </w:p>
    <w:p w14:paraId="49DF3FC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49D744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VI</w:t>
      </w:r>
      <w:r w:rsidR="00DD7230">
        <w:rPr>
          <w:rFonts w:ascii="Arial" w:hAnsi="Arial" w:cs="Arial"/>
          <w:b/>
          <w:smallCaps/>
          <w:sz w:val="22"/>
        </w:rPr>
        <w:t>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782A53A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Závěrečná ustanovení</w:t>
      </w:r>
    </w:p>
    <w:p w14:paraId="6A098F5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BCBE9F9" w14:textId="77777777" w:rsidR="009A6143" w:rsidRPr="00056E05" w:rsidRDefault="00397044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oskytovatel </w:t>
      </w:r>
      <w:r w:rsidR="009A6143" w:rsidRPr="00056E05">
        <w:rPr>
          <w:rFonts w:ascii="Arial" w:hAnsi="Arial" w:cs="Arial"/>
          <w:sz w:val="20"/>
        </w:rPr>
        <w:t xml:space="preserve">prohlašuje a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stvrzuje, že byl před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řádně a podrobně seznámen s podmínkami </w:t>
      </w:r>
      <w:r w:rsidR="00C06F54">
        <w:rPr>
          <w:rFonts w:ascii="Arial" w:hAnsi="Arial" w:cs="Arial"/>
          <w:sz w:val="20"/>
        </w:rPr>
        <w:t>výkonu SOHZ</w:t>
      </w:r>
      <w:r w:rsidR="001B486B">
        <w:rPr>
          <w:rFonts w:ascii="Arial" w:hAnsi="Arial" w:cs="Arial"/>
          <w:sz w:val="20"/>
        </w:rPr>
        <w:t xml:space="preserve"> sociálního bydlení</w:t>
      </w:r>
      <w:r w:rsidR="00C06F54">
        <w:rPr>
          <w:rFonts w:ascii="Arial" w:hAnsi="Arial" w:cs="Arial"/>
          <w:sz w:val="20"/>
        </w:rPr>
        <w:t xml:space="preserve">, </w:t>
      </w:r>
      <w:r w:rsidR="009A6143" w:rsidRPr="00056E05">
        <w:rPr>
          <w:rFonts w:ascii="Arial" w:hAnsi="Arial" w:cs="Arial"/>
          <w:sz w:val="20"/>
        </w:rPr>
        <w:t>bere na vědomí všechny stanovené podmínky, vyslovuje s nimi svůj bezvýhradný souhlas a zavazuje se k jejich plnění, stejně jako k plnění závazků vyplývajících mu z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</w:t>
      </w:r>
    </w:p>
    <w:p w14:paraId="28DBBD3D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Smluvní strany jsou povinny jednat způsobem, který neohrožuje zájmy smluvních stran, a jsou povinny zdržet se jakékoliv činnosti, která by mohla znemožnit nebo ztížit plnění předmětu </w:t>
      </w:r>
      <w:r w:rsidR="00AD600D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aktu.</w:t>
      </w:r>
    </w:p>
    <w:p w14:paraId="10F7A774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Jakékoliv změny </w:t>
      </w:r>
      <w:r w:rsidR="00587A8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ověřovacího aktu lze provádět pouze formou </w:t>
      </w:r>
      <w:r w:rsidR="001B7E58">
        <w:rPr>
          <w:rFonts w:ascii="Arial" w:hAnsi="Arial" w:cs="Arial"/>
          <w:sz w:val="20"/>
        </w:rPr>
        <w:t xml:space="preserve">vzestupně číslovaných </w:t>
      </w:r>
      <w:r w:rsidRPr="00056E05">
        <w:rPr>
          <w:rFonts w:ascii="Arial" w:hAnsi="Arial" w:cs="Arial"/>
          <w:sz w:val="20"/>
        </w:rPr>
        <w:t>písemných dodatků na základě dohody obou smluvních stran.</w:t>
      </w:r>
    </w:p>
    <w:p w14:paraId="687BE670" w14:textId="18394EB7" w:rsidR="00251B6F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Pověřovací akt je sepsán ve </w:t>
      </w:r>
      <w:r w:rsidR="00A86550">
        <w:rPr>
          <w:rFonts w:ascii="Arial" w:hAnsi="Arial" w:cs="Arial"/>
          <w:sz w:val="20"/>
        </w:rPr>
        <w:t>3</w:t>
      </w:r>
      <w:r w:rsidR="001F0D2E">
        <w:rPr>
          <w:rFonts w:ascii="Arial" w:hAnsi="Arial" w:cs="Arial"/>
          <w:sz w:val="20"/>
        </w:rPr>
        <w:t xml:space="preserve"> </w:t>
      </w:r>
      <w:r w:rsidRPr="00056E05">
        <w:rPr>
          <w:rFonts w:ascii="Arial" w:hAnsi="Arial" w:cs="Arial"/>
          <w:sz w:val="20"/>
        </w:rPr>
        <w:t xml:space="preserve">vyhotoveních, přičemž všechny mají platnost originálu a každá ze smluvních stran obdrží po jednom vyhotovení. Jedno vyhotovení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obdrží Centrum pro regionální rozvoj</w:t>
      </w:r>
      <w:r w:rsidR="00C8165B">
        <w:rPr>
          <w:rFonts w:ascii="Arial" w:hAnsi="Arial" w:cs="Arial"/>
          <w:sz w:val="20"/>
        </w:rPr>
        <w:t xml:space="preserve"> ČR</w:t>
      </w:r>
      <w:r w:rsidRPr="00056E05">
        <w:rPr>
          <w:rFonts w:ascii="Arial" w:hAnsi="Arial" w:cs="Arial"/>
          <w:sz w:val="20"/>
        </w:rPr>
        <w:t>.</w:t>
      </w:r>
    </w:p>
    <w:p w14:paraId="25AB2172" w14:textId="08836A83" w:rsidR="00482AB6" w:rsidRPr="00251B6F" w:rsidRDefault="00482AB6" w:rsidP="00251B6F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251B6F">
        <w:rPr>
          <w:rFonts w:ascii="Arial" w:hAnsi="Arial" w:cs="Arial"/>
          <w:sz w:val="20"/>
        </w:rPr>
        <w:t>Nedílnou součástí Pověřovacího aktu jsou Specifická pravidla pro žadatele a příjemce platná k datu podepsání</w:t>
      </w:r>
      <w:r w:rsidR="001B486B" w:rsidRPr="00251B6F">
        <w:rPr>
          <w:rFonts w:ascii="Arial" w:hAnsi="Arial" w:cs="Arial"/>
          <w:sz w:val="20"/>
        </w:rPr>
        <w:t xml:space="preserve"> Pověřovacího aktu</w:t>
      </w:r>
      <w:r w:rsidR="00DA78FE">
        <w:rPr>
          <w:rFonts w:ascii="Arial" w:hAnsi="Arial" w:cs="Arial"/>
          <w:sz w:val="20"/>
        </w:rPr>
        <w:t xml:space="preserve"> a Model výpočtu kompenzačního mechanismu</w:t>
      </w:r>
      <w:r w:rsidRPr="00251B6F">
        <w:rPr>
          <w:rFonts w:ascii="Arial" w:hAnsi="Arial" w:cs="Arial"/>
          <w:sz w:val="20"/>
        </w:rPr>
        <w:t>.</w:t>
      </w:r>
    </w:p>
    <w:p w14:paraId="2FE02E36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Obě smluvní strany prohlašují, že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byl </w:t>
      </w:r>
      <w:r w:rsidR="006D7DEB">
        <w:rPr>
          <w:rFonts w:ascii="Arial" w:hAnsi="Arial" w:cs="Arial"/>
          <w:sz w:val="20"/>
        </w:rPr>
        <w:t xml:space="preserve">uzavřen </w:t>
      </w:r>
      <w:r w:rsidRPr="00056E05">
        <w:rPr>
          <w:rFonts w:ascii="Arial" w:hAnsi="Arial" w:cs="Arial"/>
          <w:sz w:val="20"/>
        </w:rPr>
        <w:t xml:space="preserve">a sepsán na základě pravdivých údajů, podle jejich svobodné a vážné vůle, nikoli </w:t>
      </w:r>
      <w:r w:rsidR="001303F5">
        <w:rPr>
          <w:rFonts w:ascii="Arial" w:hAnsi="Arial" w:cs="Arial"/>
          <w:sz w:val="20"/>
        </w:rPr>
        <w:t xml:space="preserve">v </w:t>
      </w:r>
      <w:r w:rsidRPr="00056E05">
        <w:rPr>
          <w:rFonts w:ascii="Arial" w:hAnsi="Arial" w:cs="Arial"/>
          <w:sz w:val="20"/>
        </w:rPr>
        <w:t>tísni a za nápadně nevýhodných podmínek, a na důkaz toho připojují své vlastnoruční podpisy.</w:t>
      </w:r>
    </w:p>
    <w:p w14:paraId="4CB5117A" w14:textId="23A5B418" w:rsidR="001B486B" w:rsidRDefault="001B486B" w:rsidP="009A6143">
      <w:pPr>
        <w:rPr>
          <w:rFonts w:ascii="Arial" w:hAnsi="Arial" w:cs="Arial"/>
          <w:sz w:val="20"/>
        </w:rPr>
      </w:pPr>
    </w:p>
    <w:p w14:paraId="596C4D96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2AE94C49" w14:textId="77777777" w:rsidR="009A6143" w:rsidRPr="00056E05" w:rsidRDefault="00BD51B9" w:rsidP="009A614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….</w:t>
      </w:r>
      <w:r>
        <w:rPr>
          <w:rFonts w:ascii="Arial" w:hAnsi="Arial" w:cs="Arial"/>
          <w:sz w:val="20"/>
        </w:rPr>
        <w:tab/>
      </w:r>
      <w:r w:rsidR="001B486B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>Dne</w:t>
      </w:r>
      <w:r>
        <w:rPr>
          <w:rFonts w:ascii="Arial" w:hAnsi="Arial" w:cs="Arial"/>
          <w:sz w:val="20"/>
        </w:rPr>
        <w:t xml:space="preserve"> ….</w:t>
      </w:r>
    </w:p>
    <w:p w14:paraId="5320495C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8AB3B25" w14:textId="77777777" w:rsidR="009A6143" w:rsidRDefault="009A6143" w:rsidP="009A6143">
      <w:pPr>
        <w:rPr>
          <w:rFonts w:ascii="Arial" w:hAnsi="Arial" w:cs="Arial"/>
          <w:sz w:val="20"/>
        </w:rPr>
      </w:pPr>
    </w:p>
    <w:p w14:paraId="7C08C36B" w14:textId="77777777" w:rsidR="001B486B" w:rsidRDefault="001B486B" w:rsidP="009A6143">
      <w:pPr>
        <w:rPr>
          <w:rFonts w:ascii="Arial" w:hAnsi="Arial" w:cs="Arial"/>
          <w:sz w:val="20"/>
        </w:rPr>
      </w:pPr>
    </w:p>
    <w:p w14:paraId="773DDCEC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1B515015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97A0355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78DE9537" w14:textId="77777777" w:rsidR="009A6143" w:rsidRPr="00056E05" w:rsidRDefault="009A6143" w:rsidP="009A6143">
      <w:p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………………………………..</w:t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="00975BC1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>………………………………………..</w:t>
      </w:r>
    </w:p>
    <w:p w14:paraId="0E0F47CF" w14:textId="77777777" w:rsidR="009A6143" w:rsidRPr="00056E05" w:rsidRDefault="006D7DEB" w:rsidP="006D7DEB">
      <w:pPr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oskytovatel</w:t>
      </w:r>
      <w:r>
        <w:rPr>
          <w:rFonts w:ascii="Arial" w:hAnsi="Arial" w:cs="Arial"/>
          <w:sz w:val="20"/>
        </w:rPr>
        <w:t>e</w:t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ověřovatel</w:t>
      </w:r>
      <w:r>
        <w:rPr>
          <w:rFonts w:ascii="Arial" w:hAnsi="Arial" w:cs="Arial"/>
          <w:sz w:val="20"/>
        </w:rPr>
        <w:t>e</w:t>
      </w:r>
    </w:p>
    <w:p w14:paraId="7B42882B" w14:textId="77777777" w:rsidR="009A6143" w:rsidRPr="00056E05" w:rsidRDefault="009A6143" w:rsidP="009A6143">
      <w:pPr>
        <w:ind w:firstLine="708"/>
        <w:rPr>
          <w:rFonts w:ascii="Arial" w:hAnsi="Arial" w:cs="Arial"/>
          <w:sz w:val="20"/>
        </w:rPr>
      </w:pPr>
    </w:p>
    <w:p w14:paraId="426ECDC3" w14:textId="77777777" w:rsidR="00C004FE" w:rsidRDefault="00C004FE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2FD87A4C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1ED881E4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72FBB7DB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6B4E2C25" w14:textId="6A1AD099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AC0AEF">
        <w:rPr>
          <w:rFonts w:ascii="Arial" w:hAnsi="Arial" w:cs="Arial"/>
          <w:sz w:val="20"/>
        </w:rPr>
        <w:t xml:space="preserve">č. </w:t>
      </w:r>
      <w:r>
        <w:rPr>
          <w:rFonts w:ascii="Arial" w:hAnsi="Arial" w:cs="Arial"/>
          <w:sz w:val="20"/>
        </w:rPr>
        <w:t>1 – Specifická pravidla pro žadatele a příjemce dotace</w:t>
      </w:r>
    </w:p>
    <w:p w14:paraId="489F5E43" w14:textId="77838BC8" w:rsidR="009E7C18" w:rsidRDefault="00DA78FE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Příloha č. 2 – Model výpočtu kompenzačního mechanismu</w:t>
      </w:r>
    </w:p>
    <w:sectPr w:rsidR="009E7C1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B3275C" w14:textId="77777777" w:rsidR="003970A3" w:rsidRDefault="003970A3" w:rsidP="009A6143">
      <w:r>
        <w:separator/>
      </w:r>
    </w:p>
  </w:endnote>
  <w:endnote w:type="continuationSeparator" w:id="0">
    <w:p w14:paraId="260FBB36" w14:textId="77777777" w:rsidR="003970A3" w:rsidRDefault="003970A3" w:rsidP="009A6143">
      <w:r>
        <w:continuationSeparator/>
      </w:r>
    </w:p>
  </w:endnote>
  <w:endnote w:type="continuationNotice" w:id="1">
    <w:p w14:paraId="10B24825" w14:textId="77777777" w:rsidR="003970A3" w:rsidRDefault="003970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14D84" w:rsidRPr="00E47FC1" w14:paraId="679F4BB7" w14:textId="77777777" w:rsidTr="00206456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3CF124A" w14:textId="77777777" w:rsidR="00E14D84" w:rsidRPr="00E47FC1" w:rsidRDefault="00E14D84" w:rsidP="00206456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9FD7195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AFB2CA9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0ED0678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01DF07B" w14:textId="4FD762A6" w:rsidR="00E14D84" w:rsidRPr="00E47FC1" w:rsidRDefault="00E14D84" w:rsidP="00206456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9B0849">
            <w:rPr>
              <w:rStyle w:val="slostrnky"/>
              <w:rFonts w:ascii="Arial" w:hAnsi="Arial" w:cs="Arial"/>
              <w:noProof/>
            </w:rPr>
            <w:t>7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9B0849">
            <w:rPr>
              <w:rStyle w:val="slostrnky"/>
              <w:rFonts w:ascii="Arial" w:hAnsi="Arial" w:cs="Arial"/>
              <w:noProof/>
            </w:rPr>
            <w:t>7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65288BB0" w14:textId="77777777" w:rsidR="00E14D84" w:rsidRDefault="00E14D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32223" w14:textId="77777777" w:rsidR="003970A3" w:rsidRDefault="003970A3" w:rsidP="009A6143">
      <w:r>
        <w:separator/>
      </w:r>
    </w:p>
  </w:footnote>
  <w:footnote w:type="continuationSeparator" w:id="0">
    <w:p w14:paraId="3F6EF96E" w14:textId="77777777" w:rsidR="003970A3" w:rsidRDefault="003970A3" w:rsidP="009A6143">
      <w:r>
        <w:continuationSeparator/>
      </w:r>
    </w:p>
  </w:footnote>
  <w:footnote w:type="continuationNotice" w:id="1">
    <w:p w14:paraId="516537C8" w14:textId="77777777" w:rsidR="003970A3" w:rsidRDefault="003970A3"/>
  </w:footnote>
  <w:footnote w:id="2">
    <w:p w14:paraId="4B0C8770" w14:textId="77777777" w:rsidR="00892872" w:rsidRPr="00892872" w:rsidRDefault="00E14D84" w:rsidP="00D07A88">
      <w:pPr>
        <w:pStyle w:val="Textpoznpodarou"/>
        <w:rPr>
          <w:rFonts w:asciiTheme="minorHAnsi" w:hAnsiTheme="minorHAnsi" w:cs="Arial"/>
          <w:sz w:val="18"/>
        </w:rPr>
      </w:pPr>
      <w:r>
        <w:rPr>
          <w:rStyle w:val="Znakapoznpodarou"/>
        </w:rPr>
        <w:footnoteRef/>
      </w:r>
      <w:r>
        <w:t xml:space="preserve"> </w:t>
      </w:r>
      <w:r w:rsidRPr="00CD42AC">
        <w:rPr>
          <w:rFonts w:asciiTheme="minorHAnsi" w:hAnsiTheme="minorHAnsi" w:cs="Arial"/>
          <w:sz w:val="18"/>
        </w:rPr>
        <w:t>Úř. věst. L 007, 11. 01. 2012, s. 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A2259" w14:textId="311BAC44" w:rsidR="00C26A17" w:rsidRDefault="0019022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0DAC76D0" wp14:editId="2C56AF54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E0E7F"/>
    <w:multiLevelType w:val="hybridMultilevel"/>
    <w:tmpl w:val="7D44FBB8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9A6BB4"/>
    <w:multiLevelType w:val="hybridMultilevel"/>
    <w:tmpl w:val="718C62D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B97F5A"/>
    <w:multiLevelType w:val="hybridMultilevel"/>
    <w:tmpl w:val="7B341A9C"/>
    <w:lvl w:ilvl="0" w:tplc="C3E255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616DE"/>
    <w:multiLevelType w:val="hybridMultilevel"/>
    <w:tmpl w:val="5E7C3790"/>
    <w:lvl w:ilvl="0" w:tplc="C47EBB3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4A1577"/>
    <w:multiLevelType w:val="hybridMultilevel"/>
    <w:tmpl w:val="A2EA58AA"/>
    <w:lvl w:ilvl="0" w:tplc="6F2A301A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54F1C03"/>
    <w:multiLevelType w:val="hybridMultilevel"/>
    <w:tmpl w:val="46D23C24"/>
    <w:lvl w:ilvl="0" w:tplc="586A605A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64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5A21EB7"/>
    <w:multiLevelType w:val="hybridMultilevel"/>
    <w:tmpl w:val="2304A5D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F466A1"/>
    <w:multiLevelType w:val="hybridMultilevel"/>
    <w:tmpl w:val="D2A20630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8C0E26"/>
    <w:multiLevelType w:val="hybridMultilevel"/>
    <w:tmpl w:val="5ED238A2"/>
    <w:lvl w:ilvl="0" w:tplc="30D6CE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91769"/>
    <w:multiLevelType w:val="hybridMultilevel"/>
    <w:tmpl w:val="95543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B5B27"/>
    <w:multiLevelType w:val="hybridMultilevel"/>
    <w:tmpl w:val="FDEE5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C6C15"/>
    <w:multiLevelType w:val="hybridMultilevel"/>
    <w:tmpl w:val="CE0C5024"/>
    <w:lvl w:ilvl="0" w:tplc="282C6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5211F9"/>
    <w:multiLevelType w:val="hybridMultilevel"/>
    <w:tmpl w:val="A84AD276"/>
    <w:lvl w:ilvl="0" w:tplc="F5E4CF8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54E5886"/>
    <w:multiLevelType w:val="hybridMultilevel"/>
    <w:tmpl w:val="985687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D63495"/>
    <w:multiLevelType w:val="hybridMultilevel"/>
    <w:tmpl w:val="C22A5838"/>
    <w:lvl w:ilvl="0" w:tplc="C47EBB30">
      <w:numFmt w:val="bullet"/>
      <w:lvlText w:val="-"/>
      <w:lvlJc w:val="left"/>
      <w:pPr>
        <w:ind w:left="3723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4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483" w:hanging="360"/>
      </w:pPr>
      <w:rPr>
        <w:rFonts w:ascii="Wingdings" w:hAnsi="Wingdings" w:hint="default"/>
      </w:rPr>
    </w:lvl>
  </w:abstractNum>
  <w:abstractNum w:abstractNumId="15" w15:restartNumberingAfterBreak="0">
    <w:nsid w:val="5D000660"/>
    <w:multiLevelType w:val="hybridMultilevel"/>
    <w:tmpl w:val="7DB85D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8977A4"/>
    <w:multiLevelType w:val="hybridMultilevel"/>
    <w:tmpl w:val="6350579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2CD0DED"/>
    <w:multiLevelType w:val="hybridMultilevel"/>
    <w:tmpl w:val="ED7AFF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752342"/>
    <w:multiLevelType w:val="hybridMultilevel"/>
    <w:tmpl w:val="8F229A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EB5CE3"/>
    <w:multiLevelType w:val="hybridMultilevel"/>
    <w:tmpl w:val="6C2C5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979FD"/>
    <w:multiLevelType w:val="hybridMultilevel"/>
    <w:tmpl w:val="BD063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64514B"/>
    <w:multiLevelType w:val="hybridMultilevel"/>
    <w:tmpl w:val="108643E6"/>
    <w:lvl w:ilvl="0" w:tplc="AFA005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1035508"/>
    <w:multiLevelType w:val="hybridMultilevel"/>
    <w:tmpl w:val="B34C05B4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1E66754"/>
    <w:multiLevelType w:val="hybridMultilevel"/>
    <w:tmpl w:val="9F027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765AF8"/>
    <w:multiLevelType w:val="hybridMultilevel"/>
    <w:tmpl w:val="AEF8EE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5F65C7"/>
    <w:multiLevelType w:val="hybridMultilevel"/>
    <w:tmpl w:val="94727FFE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D85321F"/>
    <w:multiLevelType w:val="hybridMultilevel"/>
    <w:tmpl w:val="A022D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7A6405"/>
    <w:multiLevelType w:val="hybridMultilevel"/>
    <w:tmpl w:val="BD8054AA"/>
    <w:lvl w:ilvl="0" w:tplc="3D36981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3276656">
    <w:abstractNumId w:val="19"/>
  </w:num>
  <w:num w:numId="2" w16cid:durableId="538977420">
    <w:abstractNumId w:val="11"/>
  </w:num>
  <w:num w:numId="3" w16cid:durableId="946236605">
    <w:abstractNumId w:val="18"/>
  </w:num>
  <w:num w:numId="4" w16cid:durableId="522330444">
    <w:abstractNumId w:val="24"/>
  </w:num>
  <w:num w:numId="5" w16cid:durableId="605188734">
    <w:abstractNumId w:val="20"/>
  </w:num>
  <w:num w:numId="6" w16cid:durableId="1684628653">
    <w:abstractNumId w:val="26"/>
  </w:num>
  <w:num w:numId="7" w16cid:durableId="401953304">
    <w:abstractNumId w:val="11"/>
  </w:num>
  <w:num w:numId="8" w16cid:durableId="2048797823">
    <w:abstractNumId w:val="1"/>
  </w:num>
  <w:num w:numId="9" w16cid:durableId="782311917">
    <w:abstractNumId w:val="17"/>
  </w:num>
  <w:num w:numId="10" w16cid:durableId="860358467">
    <w:abstractNumId w:val="23"/>
  </w:num>
  <w:num w:numId="11" w16cid:durableId="1429498825">
    <w:abstractNumId w:val="16"/>
  </w:num>
  <w:num w:numId="12" w16cid:durableId="1587962783">
    <w:abstractNumId w:val="6"/>
  </w:num>
  <w:num w:numId="13" w16cid:durableId="650599824">
    <w:abstractNumId w:val="13"/>
  </w:num>
  <w:num w:numId="14" w16cid:durableId="694423338">
    <w:abstractNumId w:val="14"/>
  </w:num>
  <w:num w:numId="15" w16cid:durableId="993263848">
    <w:abstractNumId w:val="5"/>
  </w:num>
  <w:num w:numId="16" w16cid:durableId="920064037">
    <w:abstractNumId w:val="22"/>
  </w:num>
  <w:num w:numId="17" w16cid:durableId="1684163839">
    <w:abstractNumId w:val="10"/>
  </w:num>
  <w:num w:numId="18" w16cid:durableId="744378464">
    <w:abstractNumId w:val="2"/>
  </w:num>
  <w:num w:numId="19" w16cid:durableId="2117750850">
    <w:abstractNumId w:val="9"/>
  </w:num>
  <w:num w:numId="20" w16cid:durableId="1728991915">
    <w:abstractNumId w:val="21"/>
  </w:num>
  <w:num w:numId="21" w16cid:durableId="403066788">
    <w:abstractNumId w:val="8"/>
  </w:num>
  <w:num w:numId="22" w16cid:durableId="1923485679">
    <w:abstractNumId w:val="7"/>
  </w:num>
  <w:num w:numId="23" w16cid:durableId="1422988881">
    <w:abstractNumId w:val="25"/>
  </w:num>
  <w:num w:numId="24" w16cid:durableId="528639675">
    <w:abstractNumId w:val="3"/>
  </w:num>
  <w:num w:numId="25" w16cid:durableId="1710644705">
    <w:abstractNumId w:val="0"/>
  </w:num>
  <w:num w:numId="26" w16cid:durableId="591935462">
    <w:abstractNumId w:val="15"/>
  </w:num>
  <w:num w:numId="27" w16cid:durableId="929193725">
    <w:abstractNumId w:val="4"/>
  </w:num>
  <w:num w:numId="28" w16cid:durableId="479538397">
    <w:abstractNumId w:val="12"/>
  </w:num>
  <w:num w:numId="29" w16cid:durableId="375460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143"/>
    <w:rsid w:val="00006892"/>
    <w:rsid w:val="00015754"/>
    <w:rsid w:val="00017704"/>
    <w:rsid w:val="00027677"/>
    <w:rsid w:val="000300F4"/>
    <w:rsid w:val="00030F7C"/>
    <w:rsid w:val="00032381"/>
    <w:rsid w:val="0003347D"/>
    <w:rsid w:val="00035CC3"/>
    <w:rsid w:val="00040F62"/>
    <w:rsid w:val="00041AC3"/>
    <w:rsid w:val="00046ECD"/>
    <w:rsid w:val="000519DE"/>
    <w:rsid w:val="00053502"/>
    <w:rsid w:val="00056E05"/>
    <w:rsid w:val="000570A1"/>
    <w:rsid w:val="00057EC8"/>
    <w:rsid w:val="00061C34"/>
    <w:rsid w:val="00062F2E"/>
    <w:rsid w:val="000674C8"/>
    <w:rsid w:val="0006766C"/>
    <w:rsid w:val="00071D9A"/>
    <w:rsid w:val="00074FFC"/>
    <w:rsid w:val="00077520"/>
    <w:rsid w:val="0008039E"/>
    <w:rsid w:val="00085F0A"/>
    <w:rsid w:val="00096F7D"/>
    <w:rsid w:val="000A00D2"/>
    <w:rsid w:val="000A0613"/>
    <w:rsid w:val="000A3131"/>
    <w:rsid w:val="000B2B29"/>
    <w:rsid w:val="000B2BCB"/>
    <w:rsid w:val="000B3B66"/>
    <w:rsid w:val="000B6FBF"/>
    <w:rsid w:val="000C1A25"/>
    <w:rsid w:val="000C50C9"/>
    <w:rsid w:val="000C5BB4"/>
    <w:rsid w:val="000D1B74"/>
    <w:rsid w:val="000D1F7C"/>
    <w:rsid w:val="000D2268"/>
    <w:rsid w:val="000D66FB"/>
    <w:rsid w:val="000D6EA7"/>
    <w:rsid w:val="000D77A5"/>
    <w:rsid w:val="000D7BB6"/>
    <w:rsid w:val="000E2AAB"/>
    <w:rsid w:val="000E4000"/>
    <w:rsid w:val="001003B8"/>
    <w:rsid w:val="0010085D"/>
    <w:rsid w:val="00113154"/>
    <w:rsid w:val="001153CD"/>
    <w:rsid w:val="00116E2B"/>
    <w:rsid w:val="00117758"/>
    <w:rsid w:val="00123177"/>
    <w:rsid w:val="00123E3A"/>
    <w:rsid w:val="001269F0"/>
    <w:rsid w:val="001303F5"/>
    <w:rsid w:val="0014482F"/>
    <w:rsid w:val="00145150"/>
    <w:rsid w:val="00151287"/>
    <w:rsid w:val="00154332"/>
    <w:rsid w:val="0016589A"/>
    <w:rsid w:val="00165D82"/>
    <w:rsid w:val="00170701"/>
    <w:rsid w:val="001720B0"/>
    <w:rsid w:val="00173338"/>
    <w:rsid w:val="0017425E"/>
    <w:rsid w:val="00181D58"/>
    <w:rsid w:val="001827C2"/>
    <w:rsid w:val="00182B1A"/>
    <w:rsid w:val="001858E3"/>
    <w:rsid w:val="001860FB"/>
    <w:rsid w:val="0018672F"/>
    <w:rsid w:val="00190227"/>
    <w:rsid w:val="001912A4"/>
    <w:rsid w:val="00196529"/>
    <w:rsid w:val="00196A5D"/>
    <w:rsid w:val="00196E42"/>
    <w:rsid w:val="001A0945"/>
    <w:rsid w:val="001A139E"/>
    <w:rsid w:val="001A23F5"/>
    <w:rsid w:val="001A3206"/>
    <w:rsid w:val="001A4F35"/>
    <w:rsid w:val="001A5F2A"/>
    <w:rsid w:val="001A7F48"/>
    <w:rsid w:val="001B014F"/>
    <w:rsid w:val="001B0CE0"/>
    <w:rsid w:val="001B486B"/>
    <w:rsid w:val="001B5B6C"/>
    <w:rsid w:val="001B61AA"/>
    <w:rsid w:val="001B75DE"/>
    <w:rsid w:val="001B7E58"/>
    <w:rsid w:val="001D4E6B"/>
    <w:rsid w:val="001D6FF6"/>
    <w:rsid w:val="001E2C85"/>
    <w:rsid w:val="001F0D2E"/>
    <w:rsid w:val="001F3E0E"/>
    <w:rsid w:val="001F3FDA"/>
    <w:rsid w:val="001F4574"/>
    <w:rsid w:val="001F5CEC"/>
    <w:rsid w:val="00206456"/>
    <w:rsid w:val="00210D37"/>
    <w:rsid w:val="00215691"/>
    <w:rsid w:val="00217562"/>
    <w:rsid w:val="0022536B"/>
    <w:rsid w:val="00225BAA"/>
    <w:rsid w:val="00227348"/>
    <w:rsid w:val="002303FE"/>
    <w:rsid w:val="0023515D"/>
    <w:rsid w:val="00240AD5"/>
    <w:rsid w:val="00250D08"/>
    <w:rsid w:val="00251B6F"/>
    <w:rsid w:val="00252AD9"/>
    <w:rsid w:val="00257EDD"/>
    <w:rsid w:val="002611F1"/>
    <w:rsid w:val="0026167F"/>
    <w:rsid w:val="002639B3"/>
    <w:rsid w:val="00265C7B"/>
    <w:rsid w:val="00270EEB"/>
    <w:rsid w:val="0027176F"/>
    <w:rsid w:val="00273EEA"/>
    <w:rsid w:val="00275A1B"/>
    <w:rsid w:val="00277718"/>
    <w:rsid w:val="00285014"/>
    <w:rsid w:val="00285C69"/>
    <w:rsid w:val="0028701F"/>
    <w:rsid w:val="002925DB"/>
    <w:rsid w:val="00297884"/>
    <w:rsid w:val="00297A6D"/>
    <w:rsid w:val="002A0E7E"/>
    <w:rsid w:val="002A55FD"/>
    <w:rsid w:val="002A6A0A"/>
    <w:rsid w:val="002B0B01"/>
    <w:rsid w:val="002B19E2"/>
    <w:rsid w:val="002B20D9"/>
    <w:rsid w:val="002B695A"/>
    <w:rsid w:val="002C2802"/>
    <w:rsid w:val="002C409B"/>
    <w:rsid w:val="002C45D2"/>
    <w:rsid w:val="002C50AA"/>
    <w:rsid w:val="002E505A"/>
    <w:rsid w:val="002E61E0"/>
    <w:rsid w:val="002F186C"/>
    <w:rsid w:val="002F61D7"/>
    <w:rsid w:val="002F63BB"/>
    <w:rsid w:val="00302B30"/>
    <w:rsid w:val="00305276"/>
    <w:rsid w:val="00307F66"/>
    <w:rsid w:val="00315CBC"/>
    <w:rsid w:val="003270FD"/>
    <w:rsid w:val="003271B3"/>
    <w:rsid w:val="003324C0"/>
    <w:rsid w:val="0033757D"/>
    <w:rsid w:val="003503CD"/>
    <w:rsid w:val="003517B3"/>
    <w:rsid w:val="00355C9B"/>
    <w:rsid w:val="00361A60"/>
    <w:rsid w:val="00361C4B"/>
    <w:rsid w:val="00366124"/>
    <w:rsid w:val="00367915"/>
    <w:rsid w:val="00367B03"/>
    <w:rsid w:val="00367C27"/>
    <w:rsid w:val="003716B0"/>
    <w:rsid w:val="00371F8C"/>
    <w:rsid w:val="0037498B"/>
    <w:rsid w:val="00376EE1"/>
    <w:rsid w:val="003772A1"/>
    <w:rsid w:val="00380EDE"/>
    <w:rsid w:val="0038240A"/>
    <w:rsid w:val="0038290A"/>
    <w:rsid w:val="00383148"/>
    <w:rsid w:val="00384353"/>
    <w:rsid w:val="00385D91"/>
    <w:rsid w:val="00387275"/>
    <w:rsid w:val="00391648"/>
    <w:rsid w:val="0039319D"/>
    <w:rsid w:val="00394B19"/>
    <w:rsid w:val="00397044"/>
    <w:rsid w:val="003970A3"/>
    <w:rsid w:val="003A2A33"/>
    <w:rsid w:val="003A2CFD"/>
    <w:rsid w:val="003B1762"/>
    <w:rsid w:val="003B61D2"/>
    <w:rsid w:val="003C1252"/>
    <w:rsid w:val="003C6E1C"/>
    <w:rsid w:val="003E207D"/>
    <w:rsid w:val="003E51C0"/>
    <w:rsid w:val="003E5F63"/>
    <w:rsid w:val="003F14CA"/>
    <w:rsid w:val="003F350A"/>
    <w:rsid w:val="003F5191"/>
    <w:rsid w:val="003F5B7B"/>
    <w:rsid w:val="004012A6"/>
    <w:rsid w:val="004029D3"/>
    <w:rsid w:val="00403DB3"/>
    <w:rsid w:val="0040451B"/>
    <w:rsid w:val="004046B9"/>
    <w:rsid w:val="00407C54"/>
    <w:rsid w:val="00410073"/>
    <w:rsid w:val="00412031"/>
    <w:rsid w:val="00413E8F"/>
    <w:rsid w:val="00413F40"/>
    <w:rsid w:val="00414B53"/>
    <w:rsid w:val="0041656B"/>
    <w:rsid w:val="00420797"/>
    <w:rsid w:val="00421470"/>
    <w:rsid w:val="00424DA4"/>
    <w:rsid w:val="004371AA"/>
    <w:rsid w:val="00440E83"/>
    <w:rsid w:val="0044640A"/>
    <w:rsid w:val="00446483"/>
    <w:rsid w:val="004466A3"/>
    <w:rsid w:val="004475F4"/>
    <w:rsid w:val="004600CE"/>
    <w:rsid w:val="004634EE"/>
    <w:rsid w:val="004665BA"/>
    <w:rsid w:val="00467C8A"/>
    <w:rsid w:val="00471BBC"/>
    <w:rsid w:val="00472EC9"/>
    <w:rsid w:val="00482AB6"/>
    <w:rsid w:val="00483D0F"/>
    <w:rsid w:val="0049193D"/>
    <w:rsid w:val="00495D34"/>
    <w:rsid w:val="004A405E"/>
    <w:rsid w:val="004A58A6"/>
    <w:rsid w:val="004A5E8D"/>
    <w:rsid w:val="004B0595"/>
    <w:rsid w:val="004B065E"/>
    <w:rsid w:val="004B615A"/>
    <w:rsid w:val="004B74D2"/>
    <w:rsid w:val="004C1144"/>
    <w:rsid w:val="004C1720"/>
    <w:rsid w:val="004C48CD"/>
    <w:rsid w:val="004C79DE"/>
    <w:rsid w:val="004D0DA4"/>
    <w:rsid w:val="004D4B1E"/>
    <w:rsid w:val="004D7023"/>
    <w:rsid w:val="004E03FF"/>
    <w:rsid w:val="004E06CC"/>
    <w:rsid w:val="004E7932"/>
    <w:rsid w:val="004F0C7E"/>
    <w:rsid w:val="004F0E11"/>
    <w:rsid w:val="004F155C"/>
    <w:rsid w:val="004F15FE"/>
    <w:rsid w:val="004F5576"/>
    <w:rsid w:val="0050206C"/>
    <w:rsid w:val="00505A66"/>
    <w:rsid w:val="005109A1"/>
    <w:rsid w:val="00512F1F"/>
    <w:rsid w:val="00513D8C"/>
    <w:rsid w:val="00516D7C"/>
    <w:rsid w:val="00517DA0"/>
    <w:rsid w:val="00520709"/>
    <w:rsid w:val="005207B3"/>
    <w:rsid w:val="00522877"/>
    <w:rsid w:val="00523279"/>
    <w:rsid w:val="00532ED3"/>
    <w:rsid w:val="00541BE4"/>
    <w:rsid w:val="00543788"/>
    <w:rsid w:val="00543A75"/>
    <w:rsid w:val="00547301"/>
    <w:rsid w:val="005474A0"/>
    <w:rsid w:val="00550E06"/>
    <w:rsid w:val="005572CB"/>
    <w:rsid w:val="005608DB"/>
    <w:rsid w:val="00562182"/>
    <w:rsid w:val="00565189"/>
    <w:rsid w:val="0057176B"/>
    <w:rsid w:val="00580014"/>
    <w:rsid w:val="005807D0"/>
    <w:rsid w:val="005815E4"/>
    <w:rsid w:val="0058680C"/>
    <w:rsid w:val="005872F9"/>
    <w:rsid w:val="00587A88"/>
    <w:rsid w:val="00593BC4"/>
    <w:rsid w:val="00597AED"/>
    <w:rsid w:val="005A78A1"/>
    <w:rsid w:val="005B02C6"/>
    <w:rsid w:val="005B4065"/>
    <w:rsid w:val="005B5BEE"/>
    <w:rsid w:val="005B6868"/>
    <w:rsid w:val="005B784B"/>
    <w:rsid w:val="005C1180"/>
    <w:rsid w:val="005C78C4"/>
    <w:rsid w:val="005C7C57"/>
    <w:rsid w:val="005D199B"/>
    <w:rsid w:val="005D1C7F"/>
    <w:rsid w:val="005D6957"/>
    <w:rsid w:val="005D6F8E"/>
    <w:rsid w:val="005E04F9"/>
    <w:rsid w:val="005E28A0"/>
    <w:rsid w:val="005E7671"/>
    <w:rsid w:val="005F0D7A"/>
    <w:rsid w:val="005F4998"/>
    <w:rsid w:val="005F5AE3"/>
    <w:rsid w:val="005F711E"/>
    <w:rsid w:val="0060403F"/>
    <w:rsid w:val="00607225"/>
    <w:rsid w:val="00610D27"/>
    <w:rsid w:val="00616873"/>
    <w:rsid w:val="00621027"/>
    <w:rsid w:val="00624DF7"/>
    <w:rsid w:val="006250CF"/>
    <w:rsid w:val="006312CF"/>
    <w:rsid w:val="00631D4C"/>
    <w:rsid w:val="0063574C"/>
    <w:rsid w:val="00636807"/>
    <w:rsid w:val="00643810"/>
    <w:rsid w:val="00643AC6"/>
    <w:rsid w:val="00644AB2"/>
    <w:rsid w:val="006577D4"/>
    <w:rsid w:val="006578BA"/>
    <w:rsid w:val="006630BA"/>
    <w:rsid w:val="00664ED2"/>
    <w:rsid w:val="00665E93"/>
    <w:rsid w:val="006727FF"/>
    <w:rsid w:val="00673295"/>
    <w:rsid w:val="00675822"/>
    <w:rsid w:val="006802B7"/>
    <w:rsid w:val="00680A5A"/>
    <w:rsid w:val="006819FD"/>
    <w:rsid w:val="00685527"/>
    <w:rsid w:val="00690AD0"/>
    <w:rsid w:val="00694938"/>
    <w:rsid w:val="00696595"/>
    <w:rsid w:val="006A0CEA"/>
    <w:rsid w:val="006A571D"/>
    <w:rsid w:val="006A5CBE"/>
    <w:rsid w:val="006A65B4"/>
    <w:rsid w:val="006B06C2"/>
    <w:rsid w:val="006B2A7F"/>
    <w:rsid w:val="006B31A2"/>
    <w:rsid w:val="006B59B4"/>
    <w:rsid w:val="006C24B0"/>
    <w:rsid w:val="006C361B"/>
    <w:rsid w:val="006C5ABA"/>
    <w:rsid w:val="006C5B4A"/>
    <w:rsid w:val="006C6A59"/>
    <w:rsid w:val="006D02A7"/>
    <w:rsid w:val="006D7DEB"/>
    <w:rsid w:val="006E171A"/>
    <w:rsid w:val="006E4EE5"/>
    <w:rsid w:val="006E59BC"/>
    <w:rsid w:val="006E69FA"/>
    <w:rsid w:val="006F3299"/>
    <w:rsid w:val="006F694E"/>
    <w:rsid w:val="00705ED7"/>
    <w:rsid w:val="00710200"/>
    <w:rsid w:val="00710B37"/>
    <w:rsid w:val="00712177"/>
    <w:rsid w:val="007244D9"/>
    <w:rsid w:val="00724EF2"/>
    <w:rsid w:val="00725D90"/>
    <w:rsid w:val="007302EB"/>
    <w:rsid w:val="00737C4B"/>
    <w:rsid w:val="00742289"/>
    <w:rsid w:val="007471B4"/>
    <w:rsid w:val="007475CC"/>
    <w:rsid w:val="0075361D"/>
    <w:rsid w:val="00754BD6"/>
    <w:rsid w:val="00757897"/>
    <w:rsid w:val="00763DB4"/>
    <w:rsid w:val="00766D95"/>
    <w:rsid w:val="00774B52"/>
    <w:rsid w:val="007811FD"/>
    <w:rsid w:val="00783C3D"/>
    <w:rsid w:val="00786AD9"/>
    <w:rsid w:val="00793655"/>
    <w:rsid w:val="007A0275"/>
    <w:rsid w:val="007A2073"/>
    <w:rsid w:val="007A25B3"/>
    <w:rsid w:val="007A2986"/>
    <w:rsid w:val="007B0003"/>
    <w:rsid w:val="007B69DB"/>
    <w:rsid w:val="007B7999"/>
    <w:rsid w:val="007C2852"/>
    <w:rsid w:val="007C3B43"/>
    <w:rsid w:val="007C605C"/>
    <w:rsid w:val="007D223F"/>
    <w:rsid w:val="007D3BA8"/>
    <w:rsid w:val="007D5683"/>
    <w:rsid w:val="007D57E0"/>
    <w:rsid w:val="007D5847"/>
    <w:rsid w:val="007E018E"/>
    <w:rsid w:val="007E0F8E"/>
    <w:rsid w:val="007E6D6F"/>
    <w:rsid w:val="007F0AD2"/>
    <w:rsid w:val="007F3340"/>
    <w:rsid w:val="007F346A"/>
    <w:rsid w:val="007F562A"/>
    <w:rsid w:val="0080304D"/>
    <w:rsid w:val="00805005"/>
    <w:rsid w:val="0081101F"/>
    <w:rsid w:val="00817A3C"/>
    <w:rsid w:val="00823430"/>
    <w:rsid w:val="00824576"/>
    <w:rsid w:val="00825750"/>
    <w:rsid w:val="0083271E"/>
    <w:rsid w:val="00832A74"/>
    <w:rsid w:val="0084032E"/>
    <w:rsid w:val="0084270A"/>
    <w:rsid w:val="0084394F"/>
    <w:rsid w:val="00844128"/>
    <w:rsid w:val="008534A7"/>
    <w:rsid w:val="00854E82"/>
    <w:rsid w:val="00854F1F"/>
    <w:rsid w:val="0086054D"/>
    <w:rsid w:val="00860AAC"/>
    <w:rsid w:val="00866DA5"/>
    <w:rsid w:val="00867529"/>
    <w:rsid w:val="008721B5"/>
    <w:rsid w:val="00877145"/>
    <w:rsid w:val="00880E29"/>
    <w:rsid w:val="00881942"/>
    <w:rsid w:val="00881E0C"/>
    <w:rsid w:val="00881F85"/>
    <w:rsid w:val="00886892"/>
    <w:rsid w:val="008873F1"/>
    <w:rsid w:val="0089237D"/>
    <w:rsid w:val="00892872"/>
    <w:rsid w:val="0089329A"/>
    <w:rsid w:val="008A07A8"/>
    <w:rsid w:val="008A238A"/>
    <w:rsid w:val="008A2C21"/>
    <w:rsid w:val="008A786B"/>
    <w:rsid w:val="008B2561"/>
    <w:rsid w:val="008B5083"/>
    <w:rsid w:val="008B5B12"/>
    <w:rsid w:val="008C04FF"/>
    <w:rsid w:val="008C3358"/>
    <w:rsid w:val="008C4D21"/>
    <w:rsid w:val="008C6566"/>
    <w:rsid w:val="008C77D0"/>
    <w:rsid w:val="008D356E"/>
    <w:rsid w:val="008E431D"/>
    <w:rsid w:val="008E55FC"/>
    <w:rsid w:val="008E6785"/>
    <w:rsid w:val="008E6A4F"/>
    <w:rsid w:val="008F18A4"/>
    <w:rsid w:val="008F321D"/>
    <w:rsid w:val="008F594E"/>
    <w:rsid w:val="00904C35"/>
    <w:rsid w:val="009054C5"/>
    <w:rsid w:val="00912B9C"/>
    <w:rsid w:val="0091500D"/>
    <w:rsid w:val="0091537A"/>
    <w:rsid w:val="009155FC"/>
    <w:rsid w:val="009317B1"/>
    <w:rsid w:val="00931C4C"/>
    <w:rsid w:val="009355D6"/>
    <w:rsid w:val="0093597B"/>
    <w:rsid w:val="00935DA9"/>
    <w:rsid w:val="00941BB9"/>
    <w:rsid w:val="00951A74"/>
    <w:rsid w:val="009546AF"/>
    <w:rsid w:val="009571CD"/>
    <w:rsid w:val="00957A8A"/>
    <w:rsid w:val="0096084E"/>
    <w:rsid w:val="00963A5A"/>
    <w:rsid w:val="00974B93"/>
    <w:rsid w:val="00975BC1"/>
    <w:rsid w:val="00985218"/>
    <w:rsid w:val="0099071F"/>
    <w:rsid w:val="00990745"/>
    <w:rsid w:val="0099556F"/>
    <w:rsid w:val="00997211"/>
    <w:rsid w:val="00997A7B"/>
    <w:rsid w:val="009A1466"/>
    <w:rsid w:val="009A15B4"/>
    <w:rsid w:val="009A6143"/>
    <w:rsid w:val="009B0849"/>
    <w:rsid w:val="009B2A90"/>
    <w:rsid w:val="009C47FC"/>
    <w:rsid w:val="009D098B"/>
    <w:rsid w:val="009D553C"/>
    <w:rsid w:val="009E1BD8"/>
    <w:rsid w:val="009E1D0D"/>
    <w:rsid w:val="009E7C18"/>
    <w:rsid w:val="009F08CD"/>
    <w:rsid w:val="009F1984"/>
    <w:rsid w:val="00A01456"/>
    <w:rsid w:val="00A03670"/>
    <w:rsid w:val="00A05DD5"/>
    <w:rsid w:val="00A14CB2"/>
    <w:rsid w:val="00A15460"/>
    <w:rsid w:val="00A30D65"/>
    <w:rsid w:val="00A314D6"/>
    <w:rsid w:val="00A32A89"/>
    <w:rsid w:val="00A32DB9"/>
    <w:rsid w:val="00A32F1F"/>
    <w:rsid w:val="00A342E4"/>
    <w:rsid w:val="00A3733C"/>
    <w:rsid w:val="00A43B84"/>
    <w:rsid w:val="00A502A0"/>
    <w:rsid w:val="00A55E43"/>
    <w:rsid w:val="00A56877"/>
    <w:rsid w:val="00A57B79"/>
    <w:rsid w:val="00A60BB1"/>
    <w:rsid w:val="00A61361"/>
    <w:rsid w:val="00A65AC7"/>
    <w:rsid w:val="00A65CA8"/>
    <w:rsid w:val="00A74974"/>
    <w:rsid w:val="00A74F74"/>
    <w:rsid w:val="00A800E8"/>
    <w:rsid w:val="00A81E99"/>
    <w:rsid w:val="00A86550"/>
    <w:rsid w:val="00A93D48"/>
    <w:rsid w:val="00AA4045"/>
    <w:rsid w:val="00AA51D6"/>
    <w:rsid w:val="00AB1243"/>
    <w:rsid w:val="00AB16C0"/>
    <w:rsid w:val="00AB2703"/>
    <w:rsid w:val="00AB2B74"/>
    <w:rsid w:val="00AB4E53"/>
    <w:rsid w:val="00AB50D6"/>
    <w:rsid w:val="00AB5D62"/>
    <w:rsid w:val="00AC0AEF"/>
    <w:rsid w:val="00AC0B63"/>
    <w:rsid w:val="00AC364C"/>
    <w:rsid w:val="00AC387F"/>
    <w:rsid w:val="00AD1D8E"/>
    <w:rsid w:val="00AD3D2C"/>
    <w:rsid w:val="00AD3FD9"/>
    <w:rsid w:val="00AD600D"/>
    <w:rsid w:val="00AD6F02"/>
    <w:rsid w:val="00AE2D4C"/>
    <w:rsid w:val="00AE79B7"/>
    <w:rsid w:val="00AF150D"/>
    <w:rsid w:val="00AF35D4"/>
    <w:rsid w:val="00AF3CFD"/>
    <w:rsid w:val="00AF4C83"/>
    <w:rsid w:val="00AF7719"/>
    <w:rsid w:val="00B06033"/>
    <w:rsid w:val="00B1596E"/>
    <w:rsid w:val="00B237EC"/>
    <w:rsid w:val="00B30FB2"/>
    <w:rsid w:val="00B31129"/>
    <w:rsid w:val="00B32560"/>
    <w:rsid w:val="00B3276F"/>
    <w:rsid w:val="00B356AB"/>
    <w:rsid w:val="00B35BD0"/>
    <w:rsid w:val="00B412F5"/>
    <w:rsid w:val="00B44215"/>
    <w:rsid w:val="00B5335B"/>
    <w:rsid w:val="00B537C3"/>
    <w:rsid w:val="00B53C04"/>
    <w:rsid w:val="00B57CA6"/>
    <w:rsid w:val="00B644B4"/>
    <w:rsid w:val="00B65F3C"/>
    <w:rsid w:val="00B70BC1"/>
    <w:rsid w:val="00B768BE"/>
    <w:rsid w:val="00B802E7"/>
    <w:rsid w:val="00B82EBD"/>
    <w:rsid w:val="00B8360D"/>
    <w:rsid w:val="00B83DC3"/>
    <w:rsid w:val="00B85961"/>
    <w:rsid w:val="00B875DD"/>
    <w:rsid w:val="00BA0375"/>
    <w:rsid w:val="00BA2DFC"/>
    <w:rsid w:val="00BA31D0"/>
    <w:rsid w:val="00BA49EC"/>
    <w:rsid w:val="00BA7095"/>
    <w:rsid w:val="00BB05C8"/>
    <w:rsid w:val="00BC1064"/>
    <w:rsid w:val="00BD01BC"/>
    <w:rsid w:val="00BD0900"/>
    <w:rsid w:val="00BD27C9"/>
    <w:rsid w:val="00BD51B9"/>
    <w:rsid w:val="00BD7C69"/>
    <w:rsid w:val="00BE18A7"/>
    <w:rsid w:val="00BE44F0"/>
    <w:rsid w:val="00BF133B"/>
    <w:rsid w:val="00BF4083"/>
    <w:rsid w:val="00BF745E"/>
    <w:rsid w:val="00C004FE"/>
    <w:rsid w:val="00C00A18"/>
    <w:rsid w:val="00C051D8"/>
    <w:rsid w:val="00C06F54"/>
    <w:rsid w:val="00C11F15"/>
    <w:rsid w:val="00C14B6F"/>
    <w:rsid w:val="00C15468"/>
    <w:rsid w:val="00C23403"/>
    <w:rsid w:val="00C24290"/>
    <w:rsid w:val="00C26A17"/>
    <w:rsid w:val="00C32EE4"/>
    <w:rsid w:val="00C34CF3"/>
    <w:rsid w:val="00C40CA1"/>
    <w:rsid w:val="00C42B4A"/>
    <w:rsid w:val="00C44D41"/>
    <w:rsid w:val="00C46417"/>
    <w:rsid w:val="00C53C4E"/>
    <w:rsid w:val="00C54F5B"/>
    <w:rsid w:val="00C60058"/>
    <w:rsid w:val="00C73289"/>
    <w:rsid w:val="00C73942"/>
    <w:rsid w:val="00C748D1"/>
    <w:rsid w:val="00C8165B"/>
    <w:rsid w:val="00C81A6B"/>
    <w:rsid w:val="00C82892"/>
    <w:rsid w:val="00C828E6"/>
    <w:rsid w:val="00C86E40"/>
    <w:rsid w:val="00C90078"/>
    <w:rsid w:val="00C90A09"/>
    <w:rsid w:val="00C91494"/>
    <w:rsid w:val="00CA35C7"/>
    <w:rsid w:val="00CB1C7A"/>
    <w:rsid w:val="00CB2304"/>
    <w:rsid w:val="00CB267C"/>
    <w:rsid w:val="00CC0619"/>
    <w:rsid w:val="00CC5ADE"/>
    <w:rsid w:val="00CC772F"/>
    <w:rsid w:val="00CD49C1"/>
    <w:rsid w:val="00CE1011"/>
    <w:rsid w:val="00CE1C23"/>
    <w:rsid w:val="00CE5372"/>
    <w:rsid w:val="00CF11BB"/>
    <w:rsid w:val="00CF5FA5"/>
    <w:rsid w:val="00D01112"/>
    <w:rsid w:val="00D03426"/>
    <w:rsid w:val="00D07A88"/>
    <w:rsid w:val="00D07AED"/>
    <w:rsid w:val="00D1119A"/>
    <w:rsid w:val="00D2008F"/>
    <w:rsid w:val="00D21150"/>
    <w:rsid w:val="00D24243"/>
    <w:rsid w:val="00D264D4"/>
    <w:rsid w:val="00D267A0"/>
    <w:rsid w:val="00D311C0"/>
    <w:rsid w:val="00D3153F"/>
    <w:rsid w:val="00D327D5"/>
    <w:rsid w:val="00D35FCC"/>
    <w:rsid w:val="00D3755A"/>
    <w:rsid w:val="00D40396"/>
    <w:rsid w:val="00D41D3D"/>
    <w:rsid w:val="00D45DE4"/>
    <w:rsid w:val="00D46021"/>
    <w:rsid w:val="00D50274"/>
    <w:rsid w:val="00D709CF"/>
    <w:rsid w:val="00D807B3"/>
    <w:rsid w:val="00D83D2B"/>
    <w:rsid w:val="00D85897"/>
    <w:rsid w:val="00D96503"/>
    <w:rsid w:val="00DA719A"/>
    <w:rsid w:val="00DA78FE"/>
    <w:rsid w:val="00DB1B23"/>
    <w:rsid w:val="00DB3570"/>
    <w:rsid w:val="00DB359D"/>
    <w:rsid w:val="00DB445D"/>
    <w:rsid w:val="00DC2321"/>
    <w:rsid w:val="00DC52E8"/>
    <w:rsid w:val="00DC5745"/>
    <w:rsid w:val="00DC5A9F"/>
    <w:rsid w:val="00DD11D1"/>
    <w:rsid w:val="00DD7230"/>
    <w:rsid w:val="00DE09C2"/>
    <w:rsid w:val="00DE130E"/>
    <w:rsid w:val="00DE1320"/>
    <w:rsid w:val="00DE7210"/>
    <w:rsid w:val="00DF2ECF"/>
    <w:rsid w:val="00DF52B0"/>
    <w:rsid w:val="00DF765E"/>
    <w:rsid w:val="00E01281"/>
    <w:rsid w:val="00E01BB2"/>
    <w:rsid w:val="00E01F4F"/>
    <w:rsid w:val="00E053B0"/>
    <w:rsid w:val="00E054C0"/>
    <w:rsid w:val="00E06EBD"/>
    <w:rsid w:val="00E10677"/>
    <w:rsid w:val="00E12125"/>
    <w:rsid w:val="00E135E6"/>
    <w:rsid w:val="00E147A9"/>
    <w:rsid w:val="00E14D84"/>
    <w:rsid w:val="00E21DAE"/>
    <w:rsid w:val="00E227AF"/>
    <w:rsid w:val="00E235C2"/>
    <w:rsid w:val="00E32692"/>
    <w:rsid w:val="00E33824"/>
    <w:rsid w:val="00E351D1"/>
    <w:rsid w:val="00E47DB8"/>
    <w:rsid w:val="00E5005F"/>
    <w:rsid w:val="00E5034F"/>
    <w:rsid w:val="00E568BA"/>
    <w:rsid w:val="00E61D4A"/>
    <w:rsid w:val="00E73400"/>
    <w:rsid w:val="00E74939"/>
    <w:rsid w:val="00E76C61"/>
    <w:rsid w:val="00E771A3"/>
    <w:rsid w:val="00E8429E"/>
    <w:rsid w:val="00E84F65"/>
    <w:rsid w:val="00E92776"/>
    <w:rsid w:val="00E93783"/>
    <w:rsid w:val="00EA2459"/>
    <w:rsid w:val="00EA252D"/>
    <w:rsid w:val="00EA337F"/>
    <w:rsid w:val="00EB1511"/>
    <w:rsid w:val="00EB4FE0"/>
    <w:rsid w:val="00EB50A8"/>
    <w:rsid w:val="00EB6295"/>
    <w:rsid w:val="00EB68D6"/>
    <w:rsid w:val="00EC088F"/>
    <w:rsid w:val="00EC4EB2"/>
    <w:rsid w:val="00EE1273"/>
    <w:rsid w:val="00EE4F14"/>
    <w:rsid w:val="00EE6427"/>
    <w:rsid w:val="00EF1F96"/>
    <w:rsid w:val="00EF26E6"/>
    <w:rsid w:val="00F00788"/>
    <w:rsid w:val="00F02F90"/>
    <w:rsid w:val="00F13674"/>
    <w:rsid w:val="00F14AEA"/>
    <w:rsid w:val="00F25235"/>
    <w:rsid w:val="00F26B38"/>
    <w:rsid w:val="00F27AC6"/>
    <w:rsid w:val="00F33598"/>
    <w:rsid w:val="00F44162"/>
    <w:rsid w:val="00F4769E"/>
    <w:rsid w:val="00F50B40"/>
    <w:rsid w:val="00F51FBA"/>
    <w:rsid w:val="00F57701"/>
    <w:rsid w:val="00F631BD"/>
    <w:rsid w:val="00F6406E"/>
    <w:rsid w:val="00F74A37"/>
    <w:rsid w:val="00F80265"/>
    <w:rsid w:val="00F8117B"/>
    <w:rsid w:val="00F83017"/>
    <w:rsid w:val="00F9000D"/>
    <w:rsid w:val="00F94CDF"/>
    <w:rsid w:val="00F95714"/>
    <w:rsid w:val="00F95C1B"/>
    <w:rsid w:val="00F96F04"/>
    <w:rsid w:val="00F97512"/>
    <w:rsid w:val="00FA3A49"/>
    <w:rsid w:val="00FA4C25"/>
    <w:rsid w:val="00FA4D08"/>
    <w:rsid w:val="00FA586D"/>
    <w:rsid w:val="00FC2A0B"/>
    <w:rsid w:val="00FC2C06"/>
    <w:rsid w:val="00FC3176"/>
    <w:rsid w:val="00FC4A1A"/>
    <w:rsid w:val="00FC5577"/>
    <w:rsid w:val="00FC584C"/>
    <w:rsid w:val="00FD326C"/>
    <w:rsid w:val="00FD3801"/>
    <w:rsid w:val="00FD50A6"/>
    <w:rsid w:val="00FD704D"/>
    <w:rsid w:val="00FE0FA6"/>
    <w:rsid w:val="00FE329D"/>
    <w:rsid w:val="00FE5AF8"/>
    <w:rsid w:val="00FF270F"/>
    <w:rsid w:val="00FF4012"/>
    <w:rsid w:val="00FF5DE6"/>
    <w:rsid w:val="00FF5E91"/>
    <w:rsid w:val="00FF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C639A5"/>
  <w15:docId w15:val="{40066D01-984C-4F94-8B03-49B151FB2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61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A6143"/>
  </w:style>
  <w:style w:type="paragraph" w:styleId="Zpat">
    <w:name w:val="footer"/>
    <w:basedOn w:val="Normln"/>
    <w:link w:val="Zpat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9A6143"/>
  </w:style>
  <w:style w:type="character" w:styleId="slostrnky">
    <w:name w:val="page number"/>
    <w:uiPriority w:val="99"/>
    <w:rsid w:val="009A6143"/>
  </w:style>
  <w:style w:type="table" w:styleId="Mkatabulky">
    <w:name w:val="Table Grid"/>
    <w:basedOn w:val="Normlntabulka"/>
    <w:uiPriority w:val="59"/>
    <w:rsid w:val="009A6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A614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6143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614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A6143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9A6143"/>
    <w:pPr>
      <w:widowControl w:val="0"/>
      <w:autoSpaceDE w:val="0"/>
      <w:autoSpaceDN w:val="0"/>
      <w:adjustRightInd w:val="0"/>
      <w:spacing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64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456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75B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5BC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5BC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B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BC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717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D3D2C"/>
    <w:rPr>
      <w:strike w:val="0"/>
      <w:dstrike w:val="0"/>
      <w:color w:val="37377D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3EC2B-57C7-4182-B865-9EA8309DC0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B497FE-C5BD-4EE4-96C6-EC9E468673B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808ABE1-4DA2-4EB4-AD7A-0B46DE9E147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94897C-3158-4D80-A4ED-E4322DB2F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1985</Words>
  <Characters>11712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 Ptáček</dc:creator>
  <cp:lastModifiedBy>Projsová Ivana</cp:lastModifiedBy>
  <cp:revision>15</cp:revision>
  <cp:lastPrinted>2018-01-25T06:45:00Z</cp:lastPrinted>
  <dcterms:created xsi:type="dcterms:W3CDTF">2018-05-11T06:21:00Z</dcterms:created>
  <dcterms:modified xsi:type="dcterms:W3CDTF">2025-12-14T09:54:00Z</dcterms:modified>
</cp:coreProperties>
</file>